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D21974">
      <w:pPr>
        <w:spacing w:line="560" w:lineRule="exact"/>
        <w:jc w:val="center"/>
        <w:rPr>
          <w:rFonts w:hint="eastAsia" w:ascii="方正小标宋简体" w:hAnsi="方正小标宋简体" w:eastAsia="方正小标宋简体" w:cs="方正小标宋简体"/>
          <w:b w:val="0"/>
          <w:bCs/>
          <w:sz w:val="44"/>
          <w:szCs w:val="44"/>
          <w:highlight w:val="none"/>
          <w:lang w:val="en-US" w:eastAsia="zh-CN"/>
        </w:rPr>
      </w:pPr>
      <w:bookmarkStart w:id="0" w:name="_GoBack"/>
      <w:r>
        <w:rPr>
          <w:rFonts w:hint="eastAsia" w:ascii="方正小标宋简体" w:hAnsi="方正小标宋简体" w:eastAsia="方正小标宋简体" w:cs="方正小标宋简体"/>
          <w:b w:val="0"/>
          <w:bCs/>
          <w:sz w:val="44"/>
          <w:szCs w:val="44"/>
          <w:highlight w:val="none"/>
          <w:lang w:val="en-US" w:eastAsia="zh-CN"/>
        </w:rPr>
        <w:t>广东省地方标准《无人驾驶航空器海岛快件运输服务指南（征求意见稿）》编制说明</w:t>
      </w:r>
    </w:p>
    <w:p w14:paraId="28E3FF79">
      <w:pPr>
        <w:jc w:val="center"/>
        <w:rPr>
          <w:rFonts w:ascii="宋体" w:hAnsi="金山简标宋"/>
          <w:b/>
          <w:color w:val="auto"/>
          <w:sz w:val="32"/>
          <w:szCs w:val="32"/>
          <w:highlight w:val="none"/>
        </w:rPr>
      </w:pPr>
    </w:p>
    <w:p w14:paraId="69F49AEC">
      <w:pPr>
        <w:keepNext w:val="0"/>
        <w:keepLines w:val="0"/>
        <w:pageBreakBefore w:val="0"/>
        <w:kinsoku/>
        <w:wordWrap/>
        <w:overflowPunct/>
        <w:topLinePunct w:val="0"/>
        <w:bidi w:val="0"/>
        <w:adjustRightInd/>
        <w:spacing w:line="560" w:lineRule="exact"/>
        <w:ind w:firstLine="640" w:firstLineChars="200"/>
        <w:jc w:val="both"/>
        <w:textAlignment w:val="auto"/>
        <w:outlineLvl w:val="0"/>
        <w:rPr>
          <w:rFonts w:hint="eastAsia" w:ascii="黑体" w:hAnsi="黑体" w:eastAsia="黑体" w:cs="黑体"/>
          <w:b w:val="0"/>
          <w:bCs/>
          <w:kern w:val="0"/>
          <w:sz w:val="32"/>
          <w:szCs w:val="32"/>
          <w:highlight w:val="none"/>
        </w:rPr>
      </w:pPr>
      <w:r>
        <w:rPr>
          <w:rFonts w:hint="eastAsia" w:ascii="黑体" w:hAnsi="黑体" w:eastAsia="黑体" w:cs="黑体"/>
          <w:b w:val="0"/>
          <w:bCs/>
          <w:kern w:val="0"/>
          <w:sz w:val="32"/>
          <w:szCs w:val="32"/>
          <w:highlight w:val="none"/>
        </w:rPr>
        <w:t>一、任务来源</w:t>
      </w:r>
    </w:p>
    <w:p w14:paraId="0A3C7196">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广东省地方标准《无人驾驶航空器海岛快件运输服务指南》是根据《广东省市场监督管理局关于批准下达&lt;无人驾驶航空器海岛快件运输服务指南&gt;等3项低空经济领域地方标准制定计划的通知》（粤市监标准〔2025〕236号）要求进行编制的。该标准由珠海市邮政管理局提出，广东省邮政管理局作为归口省级行政主管部门，由广东省低空经济标准化技术委员会（GD/TC 152）作为归口标准化技术管理委员会，由珠海市邮政管理局担任主导单位并与珠海万山海洋开发试验区管理委员会、广东省珠海市质量技术监督标准与编码所、广东省检验检测认证研究院集团有限公司等17家单位共同起草。</w:t>
      </w:r>
    </w:p>
    <w:p w14:paraId="41A7600A">
      <w:pPr>
        <w:keepNext w:val="0"/>
        <w:keepLines w:val="0"/>
        <w:pageBreakBefore w:val="0"/>
        <w:kinsoku/>
        <w:wordWrap/>
        <w:overflowPunct/>
        <w:topLinePunct w:val="0"/>
        <w:bidi w:val="0"/>
        <w:adjustRightInd/>
        <w:spacing w:line="560" w:lineRule="exact"/>
        <w:ind w:firstLine="640" w:firstLineChars="200"/>
        <w:jc w:val="both"/>
        <w:textAlignment w:val="auto"/>
        <w:outlineLvl w:val="0"/>
        <w:rPr>
          <w:rFonts w:hint="eastAsia" w:ascii="黑体" w:hAnsi="黑体" w:eastAsia="黑体" w:cs="黑体"/>
          <w:b w:val="0"/>
          <w:bCs/>
          <w:kern w:val="0"/>
          <w:sz w:val="32"/>
          <w:szCs w:val="32"/>
          <w:highlight w:val="none"/>
        </w:rPr>
      </w:pPr>
      <w:r>
        <w:rPr>
          <w:rFonts w:hint="eastAsia" w:ascii="黑体" w:hAnsi="黑体" w:eastAsia="黑体" w:cs="黑体"/>
          <w:b w:val="0"/>
          <w:bCs/>
          <w:kern w:val="0"/>
          <w:sz w:val="32"/>
          <w:szCs w:val="32"/>
          <w:highlight w:val="none"/>
        </w:rPr>
        <w:t>二、立项的必要性</w:t>
      </w:r>
    </w:p>
    <w:p w14:paraId="4273DBCB">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outlineLvl w:val="1"/>
        <w:rPr>
          <w:rFonts w:hint="eastAsia" w:ascii="楷体_GB2312" w:hAnsi="楷体_GB2312" w:eastAsia="楷体_GB2312" w:cs="楷体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（一）低空经济是我国经济增长的新引擎</w:t>
      </w:r>
    </w:p>
    <w:p w14:paraId="3CAD5B66">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国家战略布局：2010年发布的《关于深化我国低空空域管理改革的意见》界定，“低空空域”是指垂直范围原则为真高1000米以下，可根据不同地区特点和实际需要，具体划设高度范围。2019年，国务院《交通强国建设纲要》提出发展智能物流，无人机配送被列为重点领域。2021年，《国家综合立体交通网规划纲要》把发展低空经济纳入“推进综合交通统筹融合发展”的范畴。2024年被称为低空经济元年，全国两会将“低空经济”首次写入政府工作报告，标志着其正式上升为国家战略层面的重点发展方向。国家工业和信息化部等四部门联合发文指出，到2030年，通用航空装备全面融入人民生产生活各领域，成为低空经济增长的强大推动力，形成万亿级市场规模。</w:t>
      </w:r>
    </w:p>
    <w:p w14:paraId="6C4F30EF">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地方实践转化：2024年，《广东省推动低空经济高质量发展行动方案（2024-2026年）》明确低空经济为“新质生产力”重要载体，提出到 2026 年产业规模突破3000亿元，形成“广州—深圳—珠海”三核联动格局。2025年，《广东省现代化产业体系发展报告（2023-2024）》将低空经济纳入“20个战略性产业集群”，提出“推动eVTOL、无人机等装备研发制造，建设珠海‘天空之城’、深圳低空经济示范区”。</w:t>
      </w:r>
    </w:p>
    <w:p w14:paraId="1CE35999">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从国家顶层设计到地方推动部署，低空经济正成为推动经济高质量发展的新引擎。广东作为经济大省，紧跟国家到地方的战略部署，以专项行动方案明确工作目标及发展布局，为推动全省低空经济发展注入强劲动力。</w:t>
      </w:r>
    </w:p>
    <w:p w14:paraId="1CF26D60">
      <w:pPr>
        <w:pStyle w:val="11"/>
        <w:keepNext w:val="0"/>
        <w:keepLines w:val="0"/>
        <w:pageBreakBefore w:val="0"/>
        <w:widowControl/>
        <w:tabs>
          <w:tab w:val="center" w:pos="4201"/>
          <w:tab w:val="right" w:leader="dot" w:pos="9298"/>
        </w:tabs>
        <w:kinsoku/>
        <w:wordWrap/>
        <w:overflowPunct/>
        <w:topLinePunct w:val="0"/>
        <w:autoSpaceDE w:val="0"/>
        <w:autoSpaceDN w:val="0"/>
        <w:bidi w:val="0"/>
        <w:adjustRightInd/>
        <w:snapToGrid/>
        <w:spacing w:line="560" w:lineRule="exact"/>
        <w:ind w:firstLine="640" w:firstLineChars="200"/>
        <w:jc w:val="both"/>
        <w:textAlignment w:val="auto"/>
        <w:outlineLvl w:val="1"/>
        <w:rPr>
          <w:rFonts w:hint="eastAsia" w:ascii="楷体_GB2312" w:hAnsi="楷体_GB2312" w:eastAsia="楷体_GB2312" w:cs="楷体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（二）海岛场景低空物流是低空经济的先发领域</w:t>
      </w:r>
    </w:p>
    <w:p w14:paraId="7D0EA5A0">
      <w:pPr>
        <w:pStyle w:val="11"/>
        <w:keepNext w:val="0"/>
        <w:keepLines w:val="0"/>
        <w:pageBreakBefore w:val="0"/>
        <w:widowControl/>
        <w:tabs>
          <w:tab w:val="center" w:pos="4201"/>
          <w:tab w:val="right" w:leader="dot" w:pos="9298"/>
        </w:tabs>
        <w:kinsoku/>
        <w:wordWrap/>
        <w:overflowPunct/>
        <w:topLinePunct w:val="0"/>
        <w:autoSpaceDE w:val="0"/>
        <w:autoSpaceDN w:val="0"/>
        <w:bidi w:val="0"/>
        <w:adjustRightInd/>
        <w:snapToGrid/>
        <w:spacing w:line="560" w:lineRule="exact"/>
        <w:ind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2024年2月23日召开的中央财经委员会第四次会议强调，降低</w:t>
      </w:r>
      <w:r>
        <w:rPr>
          <w:rFonts w:hint="eastAsia" w:ascii="仿宋_GB2312" w:hAnsi="仿宋_GB2312" w:eastAsia="仿宋_GB2312" w:cs="仿宋_GB2312"/>
          <w:color w:val="auto"/>
          <w:kern w:val="2"/>
          <w:sz w:val="32"/>
          <w:szCs w:val="32"/>
          <w:highlight w:val="none"/>
          <w:lang w:val="en-US" w:eastAsia="zh-CN" w:bidi="ar-SA"/>
        </w:rPr>
        <w:t>全社会物流成本是提高经济运行效率的重要举措。该会议首次在降低社会物流成本路径中提到鼓励与低空经济结合，有利于进一步完善相关支撑政策，助力低空经济发展，低空物流等新模式具有广阔的应用空间。《广东省推动低空经济高质量发展行动方案（2024-2026年）》提出积极拓展低空应用场景，推动低空物流配送应用在城市、乡村、山区、海岛等规模化落地。为加强对低空经济高质量发展工作的统筹协调，2024年6月，广东省政府成立了“低空经济高质量发展工作专班”，省邮政管理局作为工作专班成员，负责培育、推动快递配送方面的快递配送方面的低空飞行应用。截至2024年7月，广东快递行业企业已建成7个无人机运营基地，配备153架无人机，覆盖深圳、珠海等5市，日均运输快件1.7万件。</w:t>
      </w:r>
    </w:p>
    <w:p w14:paraId="457BA0AE">
      <w:pPr>
        <w:pStyle w:val="11"/>
        <w:keepNext w:val="0"/>
        <w:keepLines w:val="0"/>
        <w:pageBreakBefore w:val="0"/>
        <w:widowControl/>
        <w:tabs>
          <w:tab w:val="center" w:pos="4201"/>
          <w:tab w:val="right" w:leader="dot" w:pos="9298"/>
        </w:tabs>
        <w:kinsoku/>
        <w:wordWrap/>
        <w:overflowPunct/>
        <w:topLinePunct w:val="0"/>
        <w:autoSpaceDE w:val="0"/>
        <w:autoSpaceDN w:val="0"/>
        <w:bidi w:val="0"/>
        <w:adjustRightInd/>
        <w:snapToGrid/>
        <w:spacing w:line="560" w:lineRule="exact"/>
        <w:ind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广东海岛众多，分布零散，传统物流受地理条件限制，运输效率低、成本高，海岛场景正成为发展低空物流的关键探路者。广东省拥有大疆、亿航等全球头部无人机企业，2024年，全国首条海岛公共物流无人机配送航线（37公里航程仅25分钟，效率提升80%）在珠海万山海洋经济试验区首飞成功，目前日均飞行800架次。2024年10月30日，“桂山岛—东澳岛”“桂山岛—外伶仃岛”两条低空物流航线正式开通。广东省无人机物流已在医疗物资、生鲜冷链、跨海配送等领域落地，如珠海桂山岛实现党报党刊、海产空运常态化。</w:t>
      </w:r>
    </w:p>
    <w:p w14:paraId="5CFEF52C">
      <w:pPr>
        <w:pStyle w:val="11"/>
        <w:keepNext w:val="0"/>
        <w:keepLines w:val="0"/>
        <w:pageBreakBefore w:val="0"/>
        <w:widowControl/>
        <w:tabs>
          <w:tab w:val="center" w:pos="4201"/>
          <w:tab w:val="right" w:leader="dot" w:pos="9298"/>
        </w:tabs>
        <w:kinsoku/>
        <w:wordWrap/>
        <w:overflowPunct/>
        <w:topLinePunct w:val="0"/>
        <w:autoSpaceDE w:val="0"/>
        <w:autoSpaceDN w:val="0"/>
        <w:bidi w:val="0"/>
        <w:adjustRightInd/>
        <w:snapToGrid/>
        <w:spacing w:line="560" w:lineRule="exact"/>
        <w:ind w:firstLine="640" w:firstLineChars="200"/>
        <w:jc w:val="both"/>
        <w:textAlignment w:val="auto"/>
        <w:outlineLvl w:val="1"/>
        <w:rPr>
          <w:rFonts w:hint="eastAsia" w:ascii="仿宋" w:hAnsi="仿宋" w:eastAsia="仿宋" w:cs="仿宋"/>
          <w:color w:val="auto"/>
          <w:kern w:val="2"/>
          <w:sz w:val="32"/>
          <w:szCs w:val="32"/>
          <w:highlight w:val="none"/>
          <w:lang w:val="en-US" w:eastAsia="zh-CN" w:bidi="ar-SA"/>
        </w:rPr>
      </w:pPr>
      <w:r>
        <w:rPr>
          <w:rFonts w:hint="eastAsia" w:ascii="楷体_GB2312" w:hAnsi="楷体_GB2312" w:eastAsia="楷体_GB2312" w:cs="楷体_GB2312"/>
          <w:sz w:val="32"/>
          <w:szCs w:val="32"/>
          <w:highlight w:val="none"/>
          <w:lang w:val="en-US" w:eastAsia="zh-CN"/>
        </w:rPr>
        <w:t>（三）标准是发展低空物流场景应用的有力助推器</w:t>
      </w:r>
    </w:p>
    <w:p w14:paraId="295E54D9">
      <w:pPr>
        <w:pStyle w:val="11"/>
        <w:keepNext w:val="0"/>
        <w:keepLines w:val="0"/>
        <w:pageBreakBefore w:val="0"/>
        <w:widowControl/>
        <w:tabs>
          <w:tab w:val="center" w:pos="4201"/>
          <w:tab w:val="right" w:leader="dot" w:pos="9298"/>
        </w:tabs>
        <w:kinsoku/>
        <w:wordWrap/>
        <w:overflowPunct/>
        <w:topLinePunct w:val="0"/>
        <w:autoSpaceDE w:val="0"/>
        <w:autoSpaceDN w:val="0"/>
        <w:bidi w:val="0"/>
        <w:adjustRightInd/>
        <w:snapToGrid/>
        <w:spacing w:line="560" w:lineRule="exact"/>
        <w:ind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标准与低空海岛快件运输服务存在着紧密且不可或缺的联系，在其发展进程中扮演着极为关键的角色。采用“无人机 物流”“无人机 货运”“无人机 快递”“海岛 物流”等作为关键词在“全国标准信息公共服务平台”进行检索，暂无相关的广东省地方标准。本标准将从快件运输服务的角度出发，基于海岛场景，提供了使用无人驾驶航空器在海岛场景下提供快件运输服务的有关指导和建议，并给出了相关信息，填补了海岛场景下无人机快件运输服务的标准空白。</w:t>
      </w:r>
    </w:p>
    <w:p w14:paraId="559D5230">
      <w:pPr>
        <w:pStyle w:val="11"/>
        <w:keepNext w:val="0"/>
        <w:keepLines w:val="0"/>
        <w:pageBreakBefore w:val="0"/>
        <w:widowControl/>
        <w:tabs>
          <w:tab w:val="center" w:pos="4201"/>
          <w:tab w:val="right" w:leader="dot" w:pos="9298"/>
        </w:tabs>
        <w:kinsoku/>
        <w:wordWrap/>
        <w:overflowPunct/>
        <w:topLinePunct w:val="0"/>
        <w:autoSpaceDE w:val="0"/>
        <w:autoSpaceDN w:val="0"/>
        <w:bidi w:val="0"/>
        <w:adjustRightInd/>
        <w:snapToGrid/>
        <w:spacing w:line="560" w:lineRule="exact"/>
        <w:ind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于安全维度而言，标准给出在海岛场景下提供快件运输服务的无人驾驶航空器系统、飞行过程、快件安全、数据安全等方面的指引。例如，建议飞行器具备更为强大的抗海风及抵御恶劣天气的能力，快件包装宜防水防腐蚀，以此确保在复杂的海岛环境下进行快件运输作业时的安全性，有效保障快件运输过程安全。</w:t>
      </w:r>
    </w:p>
    <w:p w14:paraId="5BF7923D">
      <w:pPr>
        <w:pStyle w:val="11"/>
        <w:keepNext w:val="0"/>
        <w:keepLines w:val="0"/>
        <w:pageBreakBefore w:val="0"/>
        <w:widowControl/>
        <w:tabs>
          <w:tab w:val="center" w:pos="4201"/>
          <w:tab w:val="right" w:leader="dot" w:pos="9298"/>
        </w:tabs>
        <w:kinsoku/>
        <w:wordWrap/>
        <w:overflowPunct/>
        <w:topLinePunct w:val="0"/>
        <w:autoSpaceDE w:val="0"/>
        <w:autoSpaceDN w:val="0"/>
        <w:bidi w:val="0"/>
        <w:adjustRightInd/>
        <w:snapToGrid/>
        <w:spacing w:line="560" w:lineRule="exact"/>
        <w:ind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从服务质量层面出发，标准在快件的运输时效以及货物损坏赔偿等方面给出指引。建议明确在特定时间范围内完成海岛快件的配送工作，以保障服务的及时性；同时，对快件丢失、损坏情形下的赔偿提出标准建议，从而切实维护寄件人与收件人的合法权益，全方位提升整体服务水平。</w:t>
      </w:r>
    </w:p>
    <w:p w14:paraId="457B4D25">
      <w:pPr>
        <w:pStyle w:val="11"/>
        <w:keepNext w:val="0"/>
        <w:keepLines w:val="0"/>
        <w:pageBreakBefore w:val="0"/>
        <w:widowControl/>
        <w:tabs>
          <w:tab w:val="center" w:pos="4201"/>
          <w:tab w:val="right" w:leader="dot" w:pos="9298"/>
        </w:tabs>
        <w:kinsoku/>
        <w:wordWrap/>
        <w:overflowPunct/>
        <w:topLinePunct w:val="0"/>
        <w:autoSpaceDE w:val="0"/>
        <w:autoSpaceDN w:val="0"/>
        <w:bidi w:val="0"/>
        <w:adjustRightInd/>
        <w:snapToGrid/>
        <w:spacing w:line="560" w:lineRule="exact"/>
        <w:ind w:firstLine="640" w:firstLineChars="200"/>
        <w:jc w:val="both"/>
        <w:textAlignment w:val="auto"/>
        <w:rPr>
          <w:rFonts w:hint="eastAsia" w:ascii="仿宋" w:hAnsi="仿宋" w:eastAsia="仿宋" w:cs="仿宋"/>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就产业协同视角而言，标准引导低空海岛快件运输与海岛电商、旅游业等实现更为深度的融合。通过在货物包装、信息对接等方面提出指引，推动海岛特产等快件能够迅速融入电商销售体系，进而为海岛经济的发展提供有力助推，并为全国其他海岛物流运营示范场景的建设与应用提供“广东标准”。</w:t>
      </w:r>
    </w:p>
    <w:p w14:paraId="075D1B80">
      <w:pPr>
        <w:keepNext w:val="0"/>
        <w:keepLines w:val="0"/>
        <w:pageBreakBefore w:val="0"/>
        <w:kinsoku/>
        <w:wordWrap/>
        <w:overflowPunct/>
        <w:topLinePunct w:val="0"/>
        <w:bidi w:val="0"/>
        <w:adjustRightInd/>
        <w:spacing w:line="560" w:lineRule="exact"/>
        <w:ind w:firstLine="640" w:firstLineChars="200"/>
        <w:jc w:val="both"/>
        <w:textAlignment w:val="auto"/>
        <w:outlineLvl w:val="0"/>
        <w:rPr>
          <w:rFonts w:hint="eastAsia" w:ascii="黑体" w:hAnsi="黑体" w:eastAsia="黑体" w:cs="黑体"/>
          <w:b w:val="0"/>
          <w:bCs/>
          <w:kern w:val="0"/>
          <w:sz w:val="32"/>
          <w:szCs w:val="32"/>
          <w:highlight w:val="none"/>
        </w:rPr>
      </w:pPr>
      <w:r>
        <w:rPr>
          <w:rFonts w:hint="eastAsia" w:ascii="黑体" w:hAnsi="黑体" w:eastAsia="黑体" w:cs="黑体"/>
          <w:b w:val="0"/>
          <w:bCs/>
          <w:kern w:val="0"/>
          <w:sz w:val="32"/>
          <w:szCs w:val="32"/>
          <w:highlight w:val="none"/>
        </w:rPr>
        <w:t>三、标准编制原则</w:t>
      </w:r>
    </w:p>
    <w:p w14:paraId="7220A4F7">
      <w:pPr>
        <w:pStyle w:val="11"/>
        <w:keepNext w:val="0"/>
        <w:keepLines w:val="0"/>
        <w:pageBreakBefore w:val="0"/>
        <w:widowControl/>
        <w:tabs>
          <w:tab w:val="center" w:pos="4201"/>
          <w:tab w:val="right" w:leader="dot" w:pos="9298"/>
        </w:tabs>
        <w:kinsoku/>
        <w:wordWrap/>
        <w:overflowPunct/>
        <w:topLinePunct w:val="0"/>
        <w:autoSpaceDE w:val="0"/>
        <w:autoSpaceDN w:val="0"/>
        <w:bidi w:val="0"/>
        <w:adjustRightInd/>
        <w:snapToGrid/>
        <w:spacing w:line="560" w:lineRule="exact"/>
        <w:ind w:firstLine="640" w:firstLineChars="200"/>
        <w:jc w:val="both"/>
        <w:textAlignment w:val="auto"/>
        <w:outlineLvl w:val="1"/>
        <w:rPr>
          <w:rFonts w:hint="eastAsia" w:ascii="楷体_GB2312" w:hAnsi="楷体_GB2312" w:eastAsia="楷体_GB2312" w:cs="楷体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（一）规范性原则</w:t>
      </w:r>
    </w:p>
    <w:p w14:paraId="7F0302F1">
      <w:pPr>
        <w:pStyle w:val="3"/>
        <w:keepNext w:val="0"/>
        <w:keepLines w:val="0"/>
        <w:pageBreakBefore w:val="0"/>
        <w:widowControl w:val="0"/>
        <w:kinsoku/>
        <w:wordWrap/>
        <w:overflowPunct/>
        <w:topLinePunct w:val="0"/>
        <w:autoSpaceDE/>
        <w:autoSpaceDN/>
        <w:bidi w:val="0"/>
        <w:adjustRightInd/>
        <w:snapToGrid w:val="0"/>
        <w:spacing w:after="0"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本标准遵从相关法律法规、规章制度及标准要求：</w:t>
      </w:r>
    </w:p>
    <w:p w14:paraId="172FD483">
      <w:pPr>
        <w:pStyle w:val="3"/>
        <w:keepNext w:val="0"/>
        <w:keepLines w:val="0"/>
        <w:pageBreakBefore w:val="0"/>
        <w:widowControl w:val="0"/>
        <w:kinsoku/>
        <w:wordWrap/>
        <w:overflowPunct/>
        <w:topLinePunct w:val="0"/>
        <w:autoSpaceDE/>
        <w:autoSpaceDN/>
        <w:bidi w:val="0"/>
        <w:adjustRightInd/>
        <w:snapToGrid w:val="0"/>
        <w:spacing w:after="0" w:line="560" w:lineRule="exact"/>
        <w:ind w:firstLine="640" w:firstLineChars="200"/>
        <w:jc w:val="both"/>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rPr>
        <w:t>《中华人民共和国标准化法》</w:t>
      </w:r>
      <w:r>
        <w:rPr>
          <w:rFonts w:hint="eastAsia" w:ascii="仿宋_GB2312" w:hAnsi="仿宋_GB2312" w:eastAsia="仿宋_GB2312" w:cs="仿宋_GB2312"/>
          <w:sz w:val="32"/>
          <w:szCs w:val="32"/>
          <w:highlight w:val="none"/>
          <w:lang w:eastAsia="zh-CN"/>
        </w:rPr>
        <w:t>；</w:t>
      </w:r>
    </w:p>
    <w:p w14:paraId="62546DB4">
      <w:pPr>
        <w:pStyle w:val="3"/>
        <w:keepNext w:val="0"/>
        <w:keepLines w:val="0"/>
        <w:pageBreakBefore w:val="0"/>
        <w:widowControl w:val="0"/>
        <w:kinsoku/>
        <w:wordWrap/>
        <w:overflowPunct/>
        <w:topLinePunct w:val="0"/>
        <w:autoSpaceDE/>
        <w:autoSpaceDN/>
        <w:bidi w:val="0"/>
        <w:adjustRightInd/>
        <w:snapToGrid w:val="0"/>
        <w:spacing w:after="0" w:line="560" w:lineRule="exact"/>
        <w:ind w:firstLine="640" w:firstLineChars="200"/>
        <w:jc w:val="both"/>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rPr>
        <w:t>《广东省标准化条例》</w:t>
      </w:r>
      <w:r>
        <w:rPr>
          <w:rFonts w:hint="eastAsia" w:ascii="仿宋_GB2312" w:hAnsi="仿宋_GB2312" w:eastAsia="仿宋_GB2312" w:cs="仿宋_GB2312"/>
          <w:sz w:val="32"/>
          <w:szCs w:val="32"/>
          <w:highlight w:val="none"/>
          <w:lang w:eastAsia="zh-CN"/>
        </w:rPr>
        <w:t>；</w:t>
      </w:r>
    </w:p>
    <w:p w14:paraId="370DD259">
      <w:pPr>
        <w:pStyle w:val="3"/>
        <w:keepNext w:val="0"/>
        <w:keepLines w:val="0"/>
        <w:pageBreakBefore w:val="0"/>
        <w:widowControl w:val="0"/>
        <w:kinsoku/>
        <w:wordWrap/>
        <w:overflowPunct/>
        <w:topLinePunct w:val="0"/>
        <w:autoSpaceDE/>
        <w:autoSpaceDN/>
        <w:bidi w:val="0"/>
        <w:adjustRightInd/>
        <w:snapToGrid w:val="0"/>
        <w:spacing w:after="0" w:line="560" w:lineRule="exact"/>
        <w:ind w:firstLine="640" w:firstLineChars="200"/>
        <w:jc w:val="both"/>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——《中华人民共和国民用航空法》；</w:t>
      </w:r>
    </w:p>
    <w:p w14:paraId="56B40683">
      <w:pPr>
        <w:pStyle w:val="3"/>
        <w:keepNext w:val="0"/>
        <w:keepLines w:val="0"/>
        <w:pageBreakBefore w:val="0"/>
        <w:widowControl w:val="0"/>
        <w:kinsoku/>
        <w:wordWrap/>
        <w:overflowPunct/>
        <w:topLinePunct w:val="0"/>
        <w:autoSpaceDE/>
        <w:autoSpaceDN/>
        <w:bidi w:val="0"/>
        <w:adjustRightInd/>
        <w:snapToGrid w:val="0"/>
        <w:spacing w:after="0" w:line="560" w:lineRule="exact"/>
        <w:ind w:firstLine="640" w:firstLineChars="200"/>
        <w:jc w:val="both"/>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——《无人驾驶航空器飞行管理暂行条例》；</w:t>
      </w:r>
    </w:p>
    <w:p w14:paraId="640BD8DF">
      <w:pPr>
        <w:pStyle w:val="3"/>
        <w:keepNext w:val="0"/>
        <w:keepLines w:val="0"/>
        <w:pageBreakBefore w:val="0"/>
        <w:widowControl w:val="0"/>
        <w:kinsoku/>
        <w:wordWrap/>
        <w:overflowPunct/>
        <w:topLinePunct w:val="0"/>
        <w:autoSpaceDE/>
        <w:autoSpaceDN/>
        <w:bidi w:val="0"/>
        <w:adjustRightInd/>
        <w:snapToGrid w:val="0"/>
        <w:spacing w:after="0" w:line="560" w:lineRule="exact"/>
        <w:ind w:firstLine="640" w:firstLineChars="200"/>
        <w:jc w:val="both"/>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——《民用轻小型无人驾驶航空器物流配送试运行审定指南》；</w:t>
      </w:r>
    </w:p>
    <w:p w14:paraId="74B85EB0">
      <w:pPr>
        <w:pStyle w:val="3"/>
        <w:keepNext w:val="0"/>
        <w:keepLines w:val="0"/>
        <w:pageBreakBefore w:val="0"/>
        <w:widowControl w:val="0"/>
        <w:kinsoku/>
        <w:wordWrap/>
        <w:overflowPunct/>
        <w:topLinePunct w:val="0"/>
        <w:autoSpaceDE/>
        <w:autoSpaceDN/>
        <w:bidi w:val="0"/>
        <w:adjustRightInd/>
        <w:snapToGrid w:val="0"/>
        <w:spacing w:after="0" w:line="560" w:lineRule="exact"/>
        <w:ind w:firstLine="640" w:firstLineChars="200"/>
        <w:jc w:val="both"/>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——《“十四五”民用航空发展规划》；</w:t>
      </w:r>
    </w:p>
    <w:p w14:paraId="36C547E3">
      <w:pPr>
        <w:pStyle w:val="3"/>
        <w:keepNext w:val="0"/>
        <w:keepLines w:val="0"/>
        <w:pageBreakBefore w:val="0"/>
        <w:widowControl w:val="0"/>
        <w:kinsoku/>
        <w:wordWrap/>
        <w:overflowPunct/>
        <w:topLinePunct w:val="0"/>
        <w:autoSpaceDE/>
        <w:autoSpaceDN/>
        <w:bidi w:val="0"/>
        <w:adjustRightInd/>
        <w:snapToGrid w:val="0"/>
        <w:spacing w:after="0" w:line="560" w:lineRule="exact"/>
        <w:ind w:firstLine="640" w:firstLineChars="200"/>
        <w:jc w:val="both"/>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——《广东省推动低空经济高质量发展行动方案（2024-2026年）》；</w:t>
      </w:r>
    </w:p>
    <w:p w14:paraId="10EF3E16">
      <w:pPr>
        <w:pStyle w:val="3"/>
        <w:keepNext w:val="0"/>
        <w:keepLines w:val="0"/>
        <w:pageBreakBefore w:val="0"/>
        <w:widowControl w:val="0"/>
        <w:kinsoku/>
        <w:wordWrap/>
        <w:overflowPunct/>
        <w:topLinePunct w:val="0"/>
        <w:autoSpaceDE/>
        <w:autoSpaceDN/>
        <w:bidi w:val="0"/>
        <w:adjustRightInd/>
        <w:snapToGrid w:val="0"/>
        <w:spacing w:after="0" w:line="560" w:lineRule="exact"/>
        <w:ind w:firstLine="640" w:firstLineChars="200"/>
        <w:jc w:val="both"/>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rPr>
        <w:t>GB/T 1.1-2020《标准化工作导则 第1部分：标准化文件的结构和起草规则》</w:t>
      </w:r>
      <w:r>
        <w:rPr>
          <w:rFonts w:hint="eastAsia" w:ascii="仿宋_GB2312" w:hAnsi="仿宋_GB2312" w:eastAsia="仿宋_GB2312" w:cs="仿宋_GB2312"/>
          <w:sz w:val="32"/>
          <w:szCs w:val="32"/>
          <w:highlight w:val="none"/>
          <w:lang w:eastAsia="zh-CN"/>
        </w:rPr>
        <w:t>。</w:t>
      </w:r>
    </w:p>
    <w:p w14:paraId="0DA32C81">
      <w:pPr>
        <w:pStyle w:val="11"/>
        <w:keepNext w:val="0"/>
        <w:keepLines w:val="0"/>
        <w:pageBreakBefore w:val="0"/>
        <w:widowControl/>
        <w:tabs>
          <w:tab w:val="center" w:pos="4201"/>
          <w:tab w:val="right" w:leader="dot" w:pos="9298"/>
        </w:tabs>
        <w:kinsoku/>
        <w:wordWrap/>
        <w:overflowPunct/>
        <w:topLinePunct w:val="0"/>
        <w:autoSpaceDE w:val="0"/>
        <w:autoSpaceDN w:val="0"/>
        <w:bidi w:val="0"/>
        <w:adjustRightInd/>
        <w:snapToGrid/>
        <w:spacing w:line="560" w:lineRule="exact"/>
        <w:ind w:firstLine="640" w:firstLineChars="200"/>
        <w:jc w:val="both"/>
        <w:textAlignment w:val="auto"/>
        <w:outlineLvl w:val="1"/>
        <w:rPr>
          <w:rFonts w:hint="eastAsia" w:ascii="楷体_GB2312" w:hAnsi="楷体_GB2312" w:eastAsia="楷体_GB2312" w:cs="楷体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（二）科学性原则</w:t>
      </w:r>
    </w:p>
    <w:p w14:paraId="2531121D">
      <w:pPr>
        <w:pStyle w:val="3"/>
        <w:keepNext w:val="0"/>
        <w:keepLines w:val="0"/>
        <w:pageBreakBefore w:val="0"/>
        <w:widowControl w:val="0"/>
        <w:kinsoku/>
        <w:wordWrap/>
        <w:overflowPunct/>
        <w:topLinePunct w:val="0"/>
        <w:autoSpaceDE/>
        <w:autoSpaceDN/>
        <w:bidi w:val="0"/>
        <w:adjustRightInd/>
        <w:snapToGrid w:val="0"/>
        <w:spacing w:after="0"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本标准充分结合海岛场景的技术特性与客观规律，以科学数据与专业需求为支撑构建内容体系。在技术要求上，明确跨海飞行“飞行期间抗风能力不低于6级、起降阶段不低于4级”，该参数基于海岛高频强风天气的实际观测数据制定；在安全管理上，建立“飞行-人员-快件-数据”四维安全保障体系，引入无人机自动管控、数据加密传输等技术手段，同时要求制定针对强风、暴雨、通信中断等风险的应急处置预案并定期演练，通过科学的风险预判与防控机制，平衡服务效率与安全稳定性，确保标准内容的技术科学性与实践合理性。</w:t>
      </w:r>
    </w:p>
    <w:p w14:paraId="286E31E7">
      <w:pPr>
        <w:pStyle w:val="11"/>
        <w:keepNext w:val="0"/>
        <w:keepLines w:val="0"/>
        <w:pageBreakBefore w:val="0"/>
        <w:widowControl/>
        <w:tabs>
          <w:tab w:val="center" w:pos="4201"/>
          <w:tab w:val="right" w:leader="dot" w:pos="9298"/>
        </w:tabs>
        <w:kinsoku/>
        <w:wordWrap/>
        <w:overflowPunct/>
        <w:topLinePunct w:val="0"/>
        <w:autoSpaceDE w:val="0"/>
        <w:autoSpaceDN w:val="0"/>
        <w:bidi w:val="0"/>
        <w:adjustRightInd/>
        <w:snapToGrid/>
        <w:spacing w:line="560" w:lineRule="exact"/>
        <w:ind w:firstLine="640" w:firstLineChars="200"/>
        <w:jc w:val="both"/>
        <w:textAlignment w:val="auto"/>
        <w:outlineLvl w:val="1"/>
        <w:rPr>
          <w:rFonts w:hint="eastAsia" w:ascii="楷体_GB2312" w:hAnsi="楷体_GB2312" w:eastAsia="楷体_GB2312" w:cs="楷体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（三）协调性原则</w:t>
      </w:r>
    </w:p>
    <w:p w14:paraId="49248BEF">
      <w:pPr>
        <w:pStyle w:val="3"/>
        <w:keepNext w:val="0"/>
        <w:keepLines w:val="0"/>
        <w:pageBreakBefore w:val="0"/>
        <w:widowControl w:val="0"/>
        <w:kinsoku/>
        <w:wordWrap/>
        <w:overflowPunct/>
        <w:topLinePunct w:val="0"/>
        <w:autoSpaceDE/>
        <w:autoSpaceDN/>
        <w:bidi w:val="0"/>
        <w:adjustRightInd/>
        <w:snapToGrid w:val="0"/>
        <w:spacing w:after="0"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本标准的协调性是指符合国家政策，贯彻国家法律法规，与现有标准和行业发展现状协调一致，保障标准在整个标准体系中的协调性与互补性，做到衔接配套、适度超前。</w:t>
      </w:r>
    </w:p>
    <w:p w14:paraId="2B955462">
      <w:pPr>
        <w:pStyle w:val="3"/>
        <w:keepNext w:val="0"/>
        <w:keepLines w:val="0"/>
        <w:pageBreakBefore w:val="0"/>
        <w:widowControl w:val="0"/>
        <w:kinsoku/>
        <w:wordWrap/>
        <w:overflowPunct/>
        <w:topLinePunct w:val="0"/>
        <w:autoSpaceDE/>
        <w:autoSpaceDN/>
        <w:bidi w:val="0"/>
        <w:adjustRightInd/>
        <w:snapToGrid w:val="0"/>
        <w:spacing w:after="0" w:line="560" w:lineRule="exact"/>
        <w:ind w:firstLine="640" w:firstLineChars="200"/>
        <w:jc w:val="both"/>
        <w:textAlignment w:val="auto"/>
        <w:outlineLvl w:val="1"/>
        <w:rPr>
          <w:rFonts w:hint="eastAsia" w:ascii="楷体_GB2312" w:hAnsi="楷体_GB2312" w:eastAsia="楷体_GB2312" w:cs="楷体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（四）适用性原则</w:t>
      </w:r>
    </w:p>
    <w:p w14:paraId="21A9EDF9">
      <w:pPr>
        <w:pStyle w:val="3"/>
        <w:keepNext w:val="0"/>
        <w:keepLines w:val="0"/>
        <w:pageBreakBefore w:val="0"/>
        <w:widowControl w:val="0"/>
        <w:kinsoku/>
        <w:wordWrap/>
        <w:overflowPunct/>
        <w:topLinePunct w:val="0"/>
        <w:autoSpaceDE/>
        <w:autoSpaceDN/>
        <w:bidi w:val="0"/>
        <w:adjustRightInd/>
        <w:snapToGrid w:val="0"/>
        <w:spacing w:after="0"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本标准紧密围绕广东省海岛快件运输的实际需求，突出地方适配性与场景实用性。在地理适配方面，要求起降控制场综合考虑海岛地质条件、空域限制、生态环境，优先布局于通讯信号稳定区域，远离民航航线禁飞区，完全贴合广东多岛礁、海岸线长的地理特征；在气候应对方面，针对广东台风、强降雨频发的特点，专门制定极端天气下的备降方案与货物滞留处理流程；在运营模式上，允许快递服务主体独立运营或与无人机运营主体合作运营，适配广东无人机产业与快递行业协同发展的实际情况，确保标准能够直接指导本地企业开展海岛快件运输服务，解决实际运营中的痛点问题。</w:t>
      </w:r>
    </w:p>
    <w:p w14:paraId="39FC2DAF">
      <w:pPr>
        <w:keepNext w:val="0"/>
        <w:keepLines w:val="0"/>
        <w:pageBreakBefore w:val="0"/>
        <w:kinsoku/>
        <w:wordWrap/>
        <w:overflowPunct/>
        <w:topLinePunct w:val="0"/>
        <w:bidi w:val="0"/>
        <w:adjustRightInd/>
        <w:spacing w:line="560" w:lineRule="exact"/>
        <w:ind w:firstLine="640" w:firstLineChars="200"/>
        <w:jc w:val="both"/>
        <w:textAlignment w:val="auto"/>
        <w:outlineLvl w:val="0"/>
        <w:rPr>
          <w:rFonts w:hint="eastAsia" w:ascii="黑体" w:hAnsi="黑体" w:eastAsia="黑体" w:cs="黑体"/>
          <w:b w:val="0"/>
          <w:bCs/>
          <w:kern w:val="0"/>
          <w:sz w:val="32"/>
          <w:szCs w:val="32"/>
          <w:highlight w:val="none"/>
        </w:rPr>
      </w:pPr>
      <w:r>
        <w:rPr>
          <w:rFonts w:hint="eastAsia" w:ascii="黑体" w:hAnsi="黑体" w:eastAsia="黑体" w:cs="黑体"/>
          <w:b w:val="0"/>
          <w:bCs/>
          <w:kern w:val="0"/>
          <w:sz w:val="32"/>
          <w:szCs w:val="32"/>
          <w:highlight w:val="none"/>
        </w:rPr>
        <w:t>四、标准主要内容</w:t>
      </w:r>
    </w:p>
    <w:p w14:paraId="0009989C">
      <w:pPr>
        <w:keepNext w:val="0"/>
        <w:keepLines w:val="0"/>
        <w:pageBreakBefore w:val="0"/>
        <w:widowControl w:val="0"/>
        <w:kinsoku/>
        <w:wordWrap/>
        <w:overflowPunct/>
        <w:topLinePunct w:val="0"/>
        <w:autoSpaceDE/>
        <w:autoSpaceDN/>
        <w:bidi w:val="0"/>
        <w:adjustRightInd/>
        <w:snapToGrid w:val="0"/>
        <w:spacing w:line="560" w:lineRule="exact"/>
        <w:ind w:left="0" w:leftChars="0" w:firstLine="640" w:firstLineChars="200"/>
        <w:jc w:val="both"/>
        <w:textAlignment w:val="auto"/>
        <w:outlineLvl w:val="9"/>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本标准共</w:t>
      </w:r>
      <w:r>
        <w:rPr>
          <w:rFonts w:hint="eastAsia" w:ascii="仿宋_GB2312" w:hAnsi="仿宋_GB2312" w:eastAsia="仿宋_GB2312" w:cs="仿宋_GB2312"/>
          <w:color w:val="auto"/>
          <w:sz w:val="32"/>
          <w:szCs w:val="32"/>
          <w:highlight w:val="none"/>
          <w:lang w:val="en-US" w:eastAsia="zh-CN"/>
        </w:rPr>
        <w:t>7</w:t>
      </w:r>
      <w:r>
        <w:rPr>
          <w:rFonts w:hint="eastAsia" w:ascii="仿宋_GB2312" w:hAnsi="仿宋_GB2312" w:eastAsia="仿宋_GB2312" w:cs="仿宋_GB2312"/>
          <w:color w:val="auto"/>
          <w:sz w:val="32"/>
          <w:szCs w:val="32"/>
          <w:highlight w:val="none"/>
        </w:rPr>
        <w:t>章，结构如下：</w:t>
      </w:r>
    </w:p>
    <w:p w14:paraId="4E6B1644">
      <w:pPr>
        <w:pStyle w:val="11"/>
        <w:keepNext w:val="0"/>
        <w:keepLines w:val="0"/>
        <w:pageBreakBefore w:val="0"/>
        <w:widowControl/>
        <w:tabs>
          <w:tab w:val="center" w:pos="4201"/>
          <w:tab w:val="right" w:leader="dot" w:pos="9298"/>
        </w:tabs>
        <w:kinsoku/>
        <w:wordWrap/>
        <w:overflowPunct/>
        <w:topLinePunct w:val="0"/>
        <w:autoSpaceDE w:val="0"/>
        <w:autoSpaceDN w:val="0"/>
        <w:bidi w:val="0"/>
        <w:adjustRightInd/>
        <w:snapToGrid/>
        <w:spacing w:line="560" w:lineRule="exact"/>
        <w:ind w:firstLine="640" w:firstLineChars="200"/>
        <w:jc w:val="both"/>
        <w:textAlignment w:val="auto"/>
        <w:outlineLvl w:val="1"/>
        <w:rPr>
          <w:rFonts w:hint="eastAsia" w:ascii="楷体_GB2312" w:hAnsi="楷体_GB2312" w:eastAsia="楷体_GB2312" w:cs="楷体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（一）范围</w:t>
      </w:r>
    </w:p>
    <w:p w14:paraId="27611D06">
      <w:pPr>
        <w:pStyle w:val="11"/>
        <w:keepNext w:val="0"/>
        <w:keepLines w:val="0"/>
        <w:pageBreakBefore w:val="0"/>
        <w:widowControl/>
        <w:tabs>
          <w:tab w:val="center" w:pos="4201"/>
          <w:tab w:val="right" w:leader="dot" w:pos="9298"/>
        </w:tabs>
        <w:kinsoku/>
        <w:wordWrap/>
        <w:overflowPunct/>
        <w:topLinePunct w:val="0"/>
        <w:autoSpaceDE w:val="0"/>
        <w:autoSpaceDN w:val="0"/>
        <w:bidi w:val="0"/>
        <w:adjustRightInd/>
        <w:snapToGrid/>
        <w:spacing w:line="560" w:lineRule="exact"/>
        <w:ind w:firstLine="640" w:firstLineChars="200"/>
        <w:jc w:val="both"/>
        <w:textAlignment w:val="auto"/>
        <w:outlineLvl w:val="9"/>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kern w:val="2"/>
          <w:sz w:val="32"/>
          <w:szCs w:val="32"/>
          <w:highlight w:val="none"/>
          <w:lang w:val="en-US" w:eastAsia="zh-CN" w:bidi="ar-SA"/>
        </w:rPr>
        <w:t>提供了应用于海岛场景利用无人驾驶航空器从事快件运输服务的指导和建议，包括服务能力保障、服务提供、服务安全、服务评价与改进。</w:t>
      </w:r>
    </w:p>
    <w:p w14:paraId="5790157E">
      <w:pPr>
        <w:pStyle w:val="11"/>
        <w:keepNext w:val="0"/>
        <w:keepLines w:val="0"/>
        <w:pageBreakBefore w:val="0"/>
        <w:widowControl/>
        <w:tabs>
          <w:tab w:val="center" w:pos="4201"/>
          <w:tab w:val="right" w:leader="dot" w:pos="9298"/>
        </w:tabs>
        <w:kinsoku/>
        <w:wordWrap/>
        <w:overflowPunct/>
        <w:topLinePunct w:val="0"/>
        <w:autoSpaceDE w:val="0"/>
        <w:autoSpaceDN w:val="0"/>
        <w:bidi w:val="0"/>
        <w:adjustRightInd/>
        <w:snapToGrid/>
        <w:spacing w:line="560" w:lineRule="exact"/>
        <w:ind w:firstLine="640" w:firstLineChars="200"/>
        <w:jc w:val="both"/>
        <w:textAlignment w:val="auto"/>
        <w:outlineLvl w:val="1"/>
        <w:rPr>
          <w:rFonts w:hint="eastAsia" w:ascii="楷体_GB2312" w:hAnsi="楷体_GB2312" w:eastAsia="楷体_GB2312" w:cs="楷体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（二）规范性引用文件</w:t>
      </w:r>
    </w:p>
    <w:p w14:paraId="1DFB15DF">
      <w:pPr>
        <w:pStyle w:val="11"/>
        <w:keepNext w:val="0"/>
        <w:keepLines w:val="0"/>
        <w:pageBreakBefore w:val="0"/>
        <w:widowControl/>
        <w:tabs>
          <w:tab w:val="center" w:pos="4201"/>
          <w:tab w:val="right" w:leader="dot" w:pos="9298"/>
        </w:tabs>
        <w:kinsoku/>
        <w:wordWrap/>
        <w:overflowPunct/>
        <w:topLinePunct w:val="0"/>
        <w:autoSpaceDE w:val="0"/>
        <w:autoSpaceDN w:val="0"/>
        <w:bidi w:val="0"/>
        <w:adjustRightInd/>
        <w:snapToGrid/>
        <w:spacing w:line="560" w:lineRule="exact"/>
        <w:ind w:firstLine="640" w:firstLineChars="200"/>
        <w:jc w:val="both"/>
        <w:textAlignment w:val="auto"/>
        <w:outlineLvl w:val="9"/>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GB/T 27917.1—2023  快递服务 第1部分：基本术语</w:t>
      </w:r>
    </w:p>
    <w:p w14:paraId="263C6ABB">
      <w:pPr>
        <w:pStyle w:val="11"/>
        <w:keepNext w:val="0"/>
        <w:keepLines w:val="0"/>
        <w:pageBreakBefore w:val="0"/>
        <w:widowControl/>
        <w:tabs>
          <w:tab w:val="center" w:pos="4201"/>
          <w:tab w:val="right" w:leader="dot" w:pos="9298"/>
        </w:tabs>
        <w:kinsoku/>
        <w:wordWrap/>
        <w:overflowPunct/>
        <w:topLinePunct w:val="0"/>
        <w:autoSpaceDE w:val="0"/>
        <w:autoSpaceDN w:val="0"/>
        <w:bidi w:val="0"/>
        <w:adjustRightInd/>
        <w:snapToGrid/>
        <w:spacing w:line="560" w:lineRule="exact"/>
        <w:ind w:firstLine="640" w:firstLineChars="200"/>
        <w:jc w:val="both"/>
        <w:textAlignment w:val="auto"/>
        <w:outlineLvl w:val="9"/>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GB/T 38152—2019  无人驾驶航空器系统术语</w:t>
      </w:r>
    </w:p>
    <w:p w14:paraId="169C6D52">
      <w:pPr>
        <w:pStyle w:val="11"/>
        <w:keepNext w:val="0"/>
        <w:keepLines w:val="0"/>
        <w:pageBreakBefore w:val="0"/>
        <w:widowControl/>
        <w:tabs>
          <w:tab w:val="center" w:pos="4201"/>
          <w:tab w:val="right" w:leader="dot" w:pos="9298"/>
        </w:tabs>
        <w:kinsoku/>
        <w:wordWrap/>
        <w:overflowPunct/>
        <w:topLinePunct w:val="0"/>
        <w:autoSpaceDE w:val="0"/>
        <w:autoSpaceDN w:val="0"/>
        <w:bidi w:val="0"/>
        <w:adjustRightInd/>
        <w:snapToGrid/>
        <w:spacing w:line="560" w:lineRule="exact"/>
        <w:ind w:firstLine="640" w:firstLineChars="200"/>
        <w:jc w:val="both"/>
        <w:textAlignment w:val="auto"/>
        <w:outlineLvl w:val="9"/>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MH/T 2014—2023  民用无人驾驶航空器系统物流运行通用要求 第1部分：海岛场景</w:t>
      </w:r>
    </w:p>
    <w:p w14:paraId="175924DD">
      <w:pPr>
        <w:pStyle w:val="11"/>
        <w:keepNext w:val="0"/>
        <w:keepLines w:val="0"/>
        <w:pageBreakBefore w:val="0"/>
        <w:widowControl/>
        <w:tabs>
          <w:tab w:val="center" w:pos="4201"/>
          <w:tab w:val="right" w:leader="dot" w:pos="9298"/>
        </w:tabs>
        <w:kinsoku/>
        <w:wordWrap/>
        <w:overflowPunct/>
        <w:topLinePunct w:val="0"/>
        <w:autoSpaceDE w:val="0"/>
        <w:autoSpaceDN w:val="0"/>
        <w:bidi w:val="0"/>
        <w:adjustRightInd/>
        <w:snapToGrid/>
        <w:spacing w:line="560" w:lineRule="exact"/>
        <w:ind w:firstLine="640" w:firstLineChars="200"/>
        <w:jc w:val="both"/>
        <w:textAlignment w:val="auto"/>
        <w:outlineLvl w:val="9"/>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YZ/T 0172—2020  无人机快递投递服务规范</w:t>
      </w:r>
    </w:p>
    <w:p w14:paraId="59851158">
      <w:pPr>
        <w:pStyle w:val="11"/>
        <w:keepNext w:val="0"/>
        <w:keepLines w:val="0"/>
        <w:pageBreakBefore w:val="0"/>
        <w:widowControl/>
        <w:tabs>
          <w:tab w:val="center" w:pos="4201"/>
          <w:tab w:val="right" w:leader="dot" w:pos="9298"/>
        </w:tabs>
        <w:kinsoku/>
        <w:wordWrap/>
        <w:overflowPunct/>
        <w:topLinePunct w:val="0"/>
        <w:autoSpaceDE w:val="0"/>
        <w:autoSpaceDN w:val="0"/>
        <w:bidi w:val="0"/>
        <w:adjustRightInd/>
        <w:snapToGrid/>
        <w:spacing w:line="560" w:lineRule="exact"/>
        <w:ind w:firstLine="640" w:firstLineChars="200"/>
        <w:jc w:val="both"/>
        <w:textAlignment w:val="auto"/>
        <w:outlineLvl w:val="1"/>
        <w:rPr>
          <w:rFonts w:hint="eastAsia" w:ascii="楷体_GB2312" w:hAnsi="楷体_GB2312" w:eastAsia="楷体_GB2312" w:cs="楷体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（三）术语和定义</w:t>
      </w:r>
    </w:p>
    <w:p w14:paraId="35A236E5">
      <w:pPr>
        <w:pStyle w:val="11"/>
        <w:keepNext w:val="0"/>
        <w:keepLines w:val="0"/>
        <w:pageBreakBefore w:val="0"/>
        <w:widowControl/>
        <w:tabs>
          <w:tab w:val="center" w:pos="4201"/>
          <w:tab w:val="right" w:leader="dot" w:pos="9298"/>
        </w:tabs>
        <w:kinsoku/>
        <w:wordWrap/>
        <w:overflowPunct/>
        <w:topLinePunct w:val="0"/>
        <w:autoSpaceDE w:val="0"/>
        <w:autoSpaceDN w:val="0"/>
        <w:bidi w:val="0"/>
        <w:adjustRightInd/>
        <w:snapToGrid/>
        <w:spacing w:line="560" w:lineRule="exact"/>
        <w:ind w:firstLine="640" w:firstLineChars="200"/>
        <w:jc w:val="both"/>
        <w:textAlignment w:val="auto"/>
        <w:outlineLvl w:val="9"/>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明确</w:t>
      </w:r>
      <w:r>
        <w:rPr>
          <w:rFonts w:hint="eastAsia" w:ascii="仿宋_GB2312" w:hAnsi="仿宋_GB2312" w:eastAsia="仿宋_GB2312" w:cs="仿宋_GB2312"/>
          <w:color w:val="auto"/>
          <w:sz w:val="32"/>
          <w:szCs w:val="32"/>
          <w:highlight w:val="none"/>
          <w:lang w:val="en-US" w:eastAsia="zh-CN"/>
        </w:rPr>
        <w:t>快递无人机运营主体、快递服务主体、快件、无人驾驶航空器定义</w:t>
      </w:r>
      <w:r>
        <w:rPr>
          <w:rFonts w:hint="eastAsia" w:ascii="仿宋_GB2312" w:hAnsi="仿宋_GB2312" w:eastAsia="仿宋_GB2312" w:cs="仿宋_GB2312"/>
          <w:color w:val="auto"/>
          <w:sz w:val="32"/>
          <w:szCs w:val="32"/>
          <w:highlight w:val="none"/>
        </w:rPr>
        <w:t>。</w:t>
      </w:r>
    </w:p>
    <w:p w14:paraId="7F5E11BF">
      <w:pPr>
        <w:pStyle w:val="11"/>
        <w:keepNext w:val="0"/>
        <w:keepLines w:val="0"/>
        <w:pageBreakBefore w:val="0"/>
        <w:widowControl/>
        <w:tabs>
          <w:tab w:val="center" w:pos="4201"/>
          <w:tab w:val="right" w:leader="dot" w:pos="9298"/>
        </w:tabs>
        <w:kinsoku/>
        <w:wordWrap/>
        <w:overflowPunct/>
        <w:topLinePunct w:val="0"/>
        <w:autoSpaceDE w:val="0"/>
        <w:autoSpaceDN w:val="0"/>
        <w:bidi w:val="0"/>
        <w:adjustRightInd/>
        <w:snapToGrid/>
        <w:spacing w:line="560" w:lineRule="exact"/>
        <w:ind w:firstLine="640" w:firstLineChars="200"/>
        <w:jc w:val="both"/>
        <w:textAlignment w:val="auto"/>
        <w:outlineLvl w:val="1"/>
        <w:rPr>
          <w:rFonts w:hint="default" w:ascii="楷体_GB2312" w:hAnsi="楷体_GB2312" w:eastAsia="楷体_GB2312" w:cs="楷体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（四）服务能力保障</w:t>
      </w:r>
    </w:p>
    <w:p w14:paraId="403BC0A2">
      <w:pPr>
        <w:pStyle w:val="11"/>
        <w:keepNext w:val="0"/>
        <w:keepLines w:val="0"/>
        <w:pageBreakBefore w:val="0"/>
        <w:widowControl/>
        <w:tabs>
          <w:tab w:val="center" w:pos="4201"/>
          <w:tab w:val="right" w:leader="dot" w:pos="9298"/>
        </w:tabs>
        <w:kinsoku/>
        <w:wordWrap/>
        <w:overflowPunct/>
        <w:topLinePunct w:val="0"/>
        <w:autoSpaceDE w:val="0"/>
        <w:autoSpaceDN w:val="0"/>
        <w:bidi w:val="0"/>
        <w:adjustRightInd/>
        <w:snapToGrid/>
        <w:spacing w:line="560" w:lineRule="exact"/>
        <w:ind w:firstLine="640" w:firstLineChars="200"/>
        <w:jc w:val="both"/>
        <w:textAlignment w:val="auto"/>
        <w:outlineLvl w:val="9"/>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提供了运营资质、无人机驾驶航空器系统、人员、快件、起降控制场、保险的指导和建议</w:t>
      </w:r>
      <w:r>
        <w:rPr>
          <w:rFonts w:hint="eastAsia" w:ascii="仿宋_GB2312" w:hAnsi="仿宋_GB2312" w:eastAsia="仿宋_GB2312" w:cs="仿宋_GB2312"/>
          <w:color w:val="auto"/>
          <w:sz w:val="32"/>
          <w:szCs w:val="32"/>
          <w:highlight w:val="none"/>
        </w:rPr>
        <w:t>。</w:t>
      </w:r>
    </w:p>
    <w:p w14:paraId="47C80AF8">
      <w:pPr>
        <w:pStyle w:val="11"/>
        <w:keepNext w:val="0"/>
        <w:keepLines w:val="0"/>
        <w:pageBreakBefore w:val="0"/>
        <w:widowControl/>
        <w:tabs>
          <w:tab w:val="center" w:pos="4201"/>
          <w:tab w:val="right" w:leader="dot" w:pos="9298"/>
        </w:tabs>
        <w:kinsoku/>
        <w:wordWrap/>
        <w:overflowPunct/>
        <w:topLinePunct w:val="0"/>
        <w:autoSpaceDE w:val="0"/>
        <w:autoSpaceDN w:val="0"/>
        <w:bidi w:val="0"/>
        <w:adjustRightInd/>
        <w:snapToGrid/>
        <w:spacing w:line="560" w:lineRule="exact"/>
        <w:ind w:firstLine="640" w:firstLineChars="200"/>
        <w:jc w:val="both"/>
        <w:textAlignment w:val="auto"/>
        <w:outlineLvl w:val="1"/>
        <w:rPr>
          <w:rFonts w:hint="eastAsia" w:ascii="楷体_GB2312" w:hAnsi="楷体_GB2312" w:eastAsia="楷体_GB2312" w:cs="楷体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（五）服务提供</w:t>
      </w:r>
    </w:p>
    <w:p w14:paraId="33106CA8">
      <w:pPr>
        <w:pStyle w:val="11"/>
        <w:keepNext w:val="0"/>
        <w:keepLines w:val="0"/>
        <w:pageBreakBefore w:val="0"/>
        <w:widowControl/>
        <w:tabs>
          <w:tab w:val="center" w:pos="4201"/>
          <w:tab w:val="right" w:leader="dot" w:pos="9298"/>
        </w:tabs>
        <w:kinsoku/>
        <w:wordWrap/>
        <w:overflowPunct/>
        <w:topLinePunct w:val="0"/>
        <w:autoSpaceDE w:val="0"/>
        <w:autoSpaceDN w:val="0"/>
        <w:bidi w:val="0"/>
        <w:adjustRightInd/>
        <w:snapToGrid/>
        <w:spacing w:line="560" w:lineRule="exact"/>
        <w:ind w:firstLine="640" w:firstLineChars="200"/>
        <w:jc w:val="both"/>
        <w:textAlignment w:val="auto"/>
        <w:outlineLvl w:val="9"/>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给出了运输服务前、运输服务时、运输服务后的建议</w:t>
      </w:r>
      <w:r>
        <w:rPr>
          <w:rFonts w:hint="eastAsia" w:ascii="仿宋_GB2312" w:hAnsi="仿宋_GB2312" w:eastAsia="仿宋_GB2312" w:cs="仿宋_GB2312"/>
          <w:color w:val="auto"/>
          <w:sz w:val="32"/>
          <w:szCs w:val="32"/>
          <w:highlight w:val="none"/>
        </w:rPr>
        <w:t>。</w:t>
      </w:r>
    </w:p>
    <w:p w14:paraId="616CD017">
      <w:pPr>
        <w:pStyle w:val="11"/>
        <w:keepNext w:val="0"/>
        <w:keepLines w:val="0"/>
        <w:pageBreakBefore w:val="0"/>
        <w:widowControl/>
        <w:tabs>
          <w:tab w:val="center" w:pos="4201"/>
          <w:tab w:val="right" w:leader="dot" w:pos="9298"/>
        </w:tabs>
        <w:kinsoku/>
        <w:wordWrap/>
        <w:overflowPunct/>
        <w:topLinePunct w:val="0"/>
        <w:autoSpaceDE w:val="0"/>
        <w:autoSpaceDN w:val="0"/>
        <w:bidi w:val="0"/>
        <w:adjustRightInd/>
        <w:snapToGrid/>
        <w:spacing w:line="560" w:lineRule="exact"/>
        <w:ind w:firstLine="640" w:firstLineChars="200"/>
        <w:jc w:val="both"/>
        <w:textAlignment w:val="auto"/>
        <w:outlineLvl w:val="1"/>
        <w:rPr>
          <w:rFonts w:hint="eastAsia" w:ascii="楷体_GB2312" w:hAnsi="楷体_GB2312" w:eastAsia="楷体_GB2312" w:cs="楷体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（六）服务安全</w:t>
      </w:r>
    </w:p>
    <w:p w14:paraId="7129765D">
      <w:pPr>
        <w:pStyle w:val="11"/>
        <w:keepNext w:val="0"/>
        <w:keepLines w:val="0"/>
        <w:pageBreakBefore w:val="0"/>
        <w:widowControl/>
        <w:tabs>
          <w:tab w:val="center" w:pos="4201"/>
          <w:tab w:val="right" w:leader="dot" w:pos="9298"/>
        </w:tabs>
        <w:kinsoku/>
        <w:wordWrap/>
        <w:overflowPunct/>
        <w:topLinePunct w:val="0"/>
        <w:autoSpaceDE w:val="0"/>
        <w:autoSpaceDN w:val="0"/>
        <w:bidi w:val="0"/>
        <w:adjustRightInd/>
        <w:snapToGrid/>
        <w:spacing w:line="560" w:lineRule="exact"/>
        <w:ind w:firstLine="640" w:firstLineChars="200"/>
        <w:jc w:val="both"/>
        <w:textAlignment w:val="auto"/>
        <w:outlineLvl w:val="9"/>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提供了飞行安全、人员安全、快件安全、数据安全、突发应急处置预案的指导</w:t>
      </w:r>
      <w:r>
        <w:rPr>
          <w:rFonts w:hint="eastAsia" w:ascii="仿宋_GB2312" w:hAnsi="仿宋_GB2312" w:eastAsia="仿宋_GB2312" w:cs="仿宋_GB2312"/>
          <w:color w:val="auto"/>
          <w:sz w:val="32"/>
          <w:szCs w:val="32"/>
          <w:highlight w:val="none"/>
        </w:rPr>
        <w:t>。</w:t>
      </w:r>
    </w:p>
    <w:p w14:paraId="0F0AC8C1">
      <w:pPr>
        <w:pStyle w:val="11"/>
        <w:keepNext w:val="0"/>
        <w:keepLines w:val="0"/>
        <w:pageBreakBefore w:val="0"/>
        <w:widowControl/>
        <w:tabs>
          <w:tab w:val="center" w:pos="4201"/>
          <w:tab w:val="right" w:leader="dot" w:pos="9298"/>
        </w:tabs>
        <w:kinsoku/>
        <w:wordWrap/>
        <w:overflowPunct/>
        <w:topLinePunct w:val="0"/>
        <w:autoSpaceDE w:val="0"/>
        <w:autoSpaceDN w:val="0"/>
        <w:bidi w:val="0"/>
        <w:adjustRightInd/>
        <w:snapToGrid/>
        <w:spacing w:line="560" w:lineRule="exact"/>
        <w:ind w:firstLine="640" w:firstLineChars="200"/>
        <w:jc w:val="both"/>
        <w:textAlignment w:val="auto"/>
        <w:outlineLvl w:val="1"/>
        <w:rPr>
          <w:rFonts w:hint="eastAsia" w:ascii="楷体_GB2312" w:hAnsi="楷体_GB2312" w:eastAsia="楷体_GB2312" w:cs="楷体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（七）服务评价与改进</w:t>
      </w:r>
    </w:p>
    <w:p w14:paraId="1005A116">
      <w:pPr>
        <w:pStyle w:val="11"/>
        <w:keepNext w:val="0"/>
        <w:keepLines w:val="0"/>
        <w:pageBreakBefore w:val="0"/>
        <w:widowControl/>
        <w:tabs>
          <w:tab w:val="center" w:pos="4201"/>
          <w:tab w:val="right" w:leader="dot" w:pos="9298"/>
        </w:tabs>
        <w:kinsoku/>
        <w:wordWrap/>
        <w:overflowPunct/>
        <w:topLinePunct w:val="0"/>
        <w:autoSpaceDE w:val="0"/>
        <w:autoSpaceDN w:val="0"/>
        <w:bidi w:val="0"/>
        <w:adjustRightInd/>
        <w:snapToGrid/>
        <w:spacing w:line="560" w:lineRule="exact"/>
        <w:ind w:firstLine="640" w:firstLineChars="200"/>
        <w:jc w:val="both"/>
        <w:textAlignment w:val="auto"/>
        <w:outlineLvl w:val="9"/>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给出了内部评价与外部评价、服务改进措施等建议</w:t>
      </w:r>
      <w:r>
        <w:rPr>
          <w:rFonts w:hint="eastAsia" w:ascii="仿宋_GB2312" w:hAnsi="仿宋_GB2312" w:eastAsia="仿宋_GB2312" w:cs="仿宋_GB2312"/>
          <w:color w:val="auto"/>
          <w:sz w:val="32"/>
          <w:szCs w:val="32"/>
          <w:highlight w:val="none"/>
        </w:rPr>
        <w:t>。</w:t>
      </w:r>
    </w:p>
    <w:p w14:paraId="648C801B">
      <w:pPr>
        <w:keepNext w:val="0"/>
        <w:keepLines w:val="0"/>
        <w:pageBreakBefore w:val="0"/>
        <w:kinsoku/>
        <w:wordWrap/>
        <w:overflowPunct/>
        <w:topLinePunct w:val="0"/>
        <w:bidi w:val="0"/>
        <w:adjustRightInd/>
        <w:spacing w:line="560" w:lineRule="exact"/>
        <w:ind w:firstLine="640" w:firstLineChars="200"/>
        <w:jc w:val="both"/>
        <w:textAlignment w:val="auto"/>
        <w:outlineLvl w:val="0"/>
        <w:rPr>
          <w:rFonts w:hint="eastAsia" w:ascii="黑体" w:hAnsi="黑体" w:eastAsia="黑体" w:cs="黑体"/>
          <w:b w:val="0"/>
          <w:bCs/>
          <w:kern w:val="0"/>
          <w:sz w:val="32"/>
          <w:szCs w:val="32"/>
          <w:highlight w:val="none"/>
          <w:lang w:eastAsia="zh-CN"/>
        </w:rPr>
      </w:pPr>
      <w:r>
        <w:rPr>
          <w:rFonts w:hint="eastAsia" w:ascii="黑体" w:hAnsi="黑体" w:eastAsia="黑体" w:cs="黑体"/>
          <w:b w:val="0"/>
          <w:bCs/>
          <w:kern w:val="0"/>
          <w:sz w:val="32"/>
          <w:szCs w:val="32"/>
          <w:highlight w:val="none"/>
          <w:lang w:eastAsia="zh-CN"/>
        </w:rPr>
        <w:t>五、与法律法规、强制性标准的关系</w:t>
      </w:r>
    </w:p>
    <w:p w14:paraId="7D007605">
      <w:pPr>
        <w:pStyle w:val="11"/>
        <w:keepNext w:val="0"/>
        <w:keepLines w:val="0"/>
        <w:pageBreakBefore w:val="0"/>
        <w:widowControl/>
        <w:tabs>
          <w:tab w:val="center" w:pos="4201"/>
          <w:tab w:val="right" w:leader="dot" w:pos="9298"/>
        </w:tabs>
        <w:kinsoku/>
        <w:wordWrap/>
        <w:overflowPunct/>
        <w:topLinePunct w:val="0"/>
        <w:autoSpaceDE w:val="0"/>
        <w:autoSpaceDN w:val="0"/>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本标准以《中华人民共和国标准化法》、《广东省标准化条例》中的相关规定要求，以及下述列表中的政策文件为依据进行研制，不违反任何相关的现有法律法规以及强制性标准，与有关法律法规和强制性标准的关系是协调一致的。</w:t>
      </w:r>
    </w:p>
    <w:p w14:paraId="1E9617C3">
      <w:pPr>
        <w:keepNext w:val="0"/>
        <w:keepLines w:val="0"/>
        <w:pageBreakBefore w:val="0"/>
        <w:kinsoku/>
        <w:wordWrap/>
        <w:overflowPunct/>
        <w:topLinePunct w:val="0"/>
        <w:bidi w:val="0"/>
        <w:adjustRightInd/>
        <w:spacing w:line="560" w:lineRule="exact"/>
        <w:ind w:firstLine="640" w:firstLineChars="200"/>
        <w:jc w:val="both"/>
        <w:textAlignment w:val="auto"/>
        <w:outlineLvl w:val="0"/>
        <w:rPr>
          <w:rFonts w:hint="eastAsia" w:ascii="黑体" w:hAnsi="黑体" w:eastAsia="黑体" w:cs="黑体"/>
          <w:b w:val="0"/>
          <w:bCs/>
          <w:kern w:val="0"/>
          <w:sz w:val="32"/>
          <w:szCs w:val="32"/>
          <w:highlight w:val="none"/>
          <w:lang w:eastAsia="zh-CN"/>
        </w:rPr>
      </w:pPr>
      <w:r>
        <w:rPr>
          <w:rFonts w:hint="eastAsia" w:ascii="黑体" w:hAnsi="黑体" w:eastAsia="黑体" w:cs="黑体"/>
          <w:b w:val="0"/>
          <w:bCs/>
          <w:kern w:val="0"/>
          <w:sz w:val="32"/>
          <w:szCs w:val="32"/>
          <w:highlight w:val="none"/>
          <w:lang w:eastAsia="zh-CN"/>
        </w:rPr>
        <w:t>六、先进性和地方特色</w:t>
      </w:r>
    </w:p>
    <w:p w14:paraId="05BF81AD">
      <w:pPr>
        <w:pStyle w:val="11"/>
        <w:keepNext w:val="0"/>
        <w:keepLines w:val="0"/>
        <w:pageBreakBefore w:val="0"/>
        <w:widowControl/>
        <w:tabs>
          <w:tab w:val="center" w:pos="4201"/>
          <w:tab w:val="right" w:leader="dot" w:pos="9298"/>
        </w:tabs>
        <w:kinsoku/>
        <w:wordWrap/>
        <w:overflowPunct/>
        <w:topLinePunct w:val="0"/>
        <w:autoSpaceDE w:val="0"/>
        <w:autoSpaceDN w:val="0"/>
        <w:bidi w:val="0"/>
        <w:adjustRightInd/>
        <w:snapToGrid/>
        <w:spacing w:line="560" w:lineRule="exact"/>
        <w:ind w:firstLine="640" w:firstLineChars="200"/>
        <w:jc w:val="both"/>
        <w:textAlignment w:val="auto"/>
        <w:outlineLvl w:val="1"/>
        <w:rPr>
          <w:rFonts w:hint="eastAsia" w:ascii="楷体_GB2312" w:hAnsi="楷体_GB2312" w:eastAsia="楷体_GB2312" w:cs="楷体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（一）先进性</w:t>
      </w:r>
    </w:p>
    <w:p w14:paraId="187188CF">
      <w:pPr>
        <w:pStyle w:val="11"/>
        <w:keepNext w:val="0"/>
        <w:keepLines w:val="0"/>
        <w:pageBreakBefore w:val="0"/>
        <w:widowControl/>
        <w:tabs>
          <w:tab w:val="center" w:pos="4201"/>
          <w:tab w:val="right" w:leader="dot" w:pos="9298"/>
        </w:tabs>
        <w:kinsoku/>
        <w:wordWrap/>
        <w:overflowPunct/>
        <w:topLinePunct w:val="0"/>
        <w:autoSpaceDE w:val="0"/>
        <w:autoSpaceDN w:val="0"/>
        <w:bidi w:val="0"/>
        <w:adjustRightInd/>
        <w:snapToGrid/>
        <w:spacing w:line="560" w:lineRule="exact"/>
        <w:ind w:left="0" w:leftChars="0" w:firstLine="640" w:firstLineChars="200"/>
        <w:jc w:val="both"/>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一</w:t>
      </w:r>
      <w:r>
        <w:rPr>
          <w:rFonts w:hint="eastAsia" w:ascii="仿宋_GB2312" w:hAnsi="仿宋_GB2312" w:eastAsia="仿宋_GB2312" w:cs="仿宋_GB2312"/>
          <w:b/>
          <w:bCs/>
          <w:sz w:val="32"/>
          <w:szCs w:val="32"/>
          <w:highlight w:val="none"/>
          <w:lang w:val="en-US" w:eastAsia="zh-CN"/>
        </w:rPr>
        <w:t>是</w:t>
      </w:r>
      <w:r>
        <w:rPr>
          <w:rFonts w:hint="eastAsia" w:ascii="仿宋_GB2312" w:hAnsi="仿宋_GB2312" w:eastAsia="仿宋_GB2312" w:cs="仿宋_GB2312"/>
          <w:b w:val="0"/>
          <w:bCs w:val="0"/>
          <w:sz w:val="32"/>
          <w:szCs w:val="32"/>
          <w:highlight w:val="none"/>
          <w:lang w:val="en-US" w:eastAsia="zh-CN"/>
        </w:rPr>
        <w:t>技术应用领先。明确要求起降控制场通过系统或平台建设实现无人机自动操作和管控，且宜采用具备定位系统、自动驾驶技术的无人驾驶航空器，顺应智能物流发展趋势，提升运输效率与精准度。二</w:t>
      </w:r>
      <w:r>
        <w:rPr>
          <w:rFonts w:hint="eastAsia" w:ascii="仿宋_GB2312" w:hAnsi="仿宋_GB2312" w:eastAsia="仿宋_GB2312" w:cs="仿宋_GB2312"/>
          <w:b/>
          <w:bCs/>
          <w:sz w:val="32"/>
          <w:szCs w:val="32"/>
          <w:highlight w:val="none"/>
          <w:lang w:val="en-US" w:eastAsia="zh-CN"/>
        </w:rPr>
        <w:t>是</w:t>
      </w:r>
      <w:r>
        <w:rPr>
          <w:rFonts w:hint="eastAsia" w:ascii="仿宋_GB2312" w:hAnsi="仿宋_GB2312" w:eastAsia="仿宋_GB2312" w:cs="仿宋_GB2312"/>
          <w:b w:val="0"/>
          <w:bCs w:val="0"/>
          <w:sz w:val="32"/>
          <w:szCs w:val="32"/>
          <w:highlight w:val="none"/>
          <w:lang w:val="en-US" w:eastAsia="zh-CN"/>
        </w:rPr>
        <w:t>安全管理全面。构建多维度安全保障体系，既涵盖飞行、人员、快件、数据等常规安全领域，又针对海岛场景制定突发应急处置预案，重点应对强风、暴雨等复杂天气及通信中断、设备故障等风险，还要求购买第三者责任保险和足额货物保险，降低运营风险。三</w:t>
      </w:r>
      <w:r>
        <w:rPr>
          <w:rFonts w:hint="eastAsia" w:ascii="仿宋_GB2312" w:hAnsi="仿宋_GB2312" w:eastAsia="仿宋_GB2312" w:cs="仿宋_GB2312"/>
          <w:b/>
          <w:bCs/>
          <w:sz w:val="32"/>
          <w:szCs w:val="32"/>
          <w:highlight w:val="none"/>
          <w:lang w:val="en-US" w:eastAsia="zh-CN"/>
        </w:rPr>
        <w:t>是</w:t>
      </w:r>
      <w:r>
        <w:rPr>
          <w:rFonts w:hint="eastAsia" w:ascii="仿宋_GB2312" w:hAnsi="仿宋_GB2312" w:eastAsia="仿宋_GB2312" w:cs="仿宋_GB2312"/>
          <w:b w:val="0"/>
          <w:bCs w:val="0"/>
          <w:sz w:val="32"/>
          <w:szCs w:val="32"/>
          <w:highlight w:val="none"/>
          <w:lang w:val="en-US" w:eastAsia="zh-CN"/>
        </w:rPr>
        <w:t>服务流程规范。细化服务全流程，从运输服务前的快件选择、寄件人沟通，到运输服务时的跟踪监控、异常处理，再到运输服务后的反馈改进、数据保存，形成闭环管理，同时引入内部与外部双重服务评价机制，结合大数据、云计算技术推动服务持续优化。</w:t>
      </w:r>
    </w:p>
    <w:p w14:paraId="60346FCA">
      <w:pPr>
        <w:pStyle w:val="11"/>
        <w:keepNext w:val="0"/>
        <w:keepLines w:val="0"/>
        <w:pageBreakBefore w:val="0"/>
        <w:widowControl/>
        <w:tabs>
          <w:tab w:val="center" w:pos="4201"/>
          <w:tab w:val="right" w:leader="dot" w:pos="9298"/>
        </w:tabs>
        <w:kinsoku/>
        <w:wordWrap/>
        <w:overflowPunct/>
        <w:topLinePunct w:val="0"/>
        <w:autoSpaceDE w:val="0"/>
        <w:autoSpaceDN w:val="0"/>
        <w:bidi w:val="0"/>
        <w:adjustRightInd/>
        <w:snapToGrid/>
        <w:spacing w:line="560" w:lineRule="exact"/>
        <w:ind w:firstLine="640" w:firstLineChars="200"/>
        <w:jc w:val="both"/>
        <w:textAlignment w:val="auto"/>
        <w:outlineLvl w:val="1"/>
        <w:rPr>
          <w:rFonts w:hint="eastAsia" w:ascii="楷体_GB2312" w:hAnsi="楷体_GB2312" w:eastAsia="楷体_GB2312" w:cs="楷体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（二）地方特色</w:t>
      </w:r>
    </w:p>
    <w:p w14:paraId="2CEEB43C">
      <w:pPr>
        <w:pStyle w:val="11"/>
        <w:keepNext w:val="0"/>
        <w:keepLines w:val="0"/>
        <w:pageBreakBefore w:val="0"/>
        <w:widowControl/>
        <w:tabs>
          <w:tab w:val="center" w:pos="4201"/>
          <w:tab w:val="right" w:leader="dot" w:pos="9298"/>
        </w:tabs>
        <w:kinsoku/>
        <w:wordWrap/>
        <w:overflowPunct/>
        <w:topLinePunct w:val="0"/>
        <w:autoSpaceDE w:val="0"/>
        <w:autoSpaceDN w:val="0"/>
        <w:bidi w:val="0"/>
        <w:adjustRightInd/>
        <w:snapToGrid/>
        <w:spacing w:line="560" w:lineRule="exact"/>
        <w:ind w:firstLine="480"/>
        <w:jc w:val="both"/>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一</w:t>
      </w:r>
      <w:r>
        <w:rPr>
          <w:rFonts w:hint="eastAsia" w:ascii="仿宋_GB2312" w:hAnsi="仿宋_GB2312" w:eastAsia="仿宋_GB2312" w:cs="仿宋_GB2312"/>
          <w:b/>
          <w:bCs/>
          <w:sz w:val="32"/>
          <w:szCs w:val="32"/>
          <w:highlight w:val="none"/>
          <w:lang w:val="en-US" w:eastAsia="zh-CN"/>
        </w:rPr>
        <w:t>是</w:t>
      </w:r>
      <w:r>
        <w:rPr>
          <w:rFonts w:hint="eastAsia" w:ascii="仿宋_GB2312" w:hAnsi="仿宋_GB2312" w:eastAsia="仿宋_GB2312" w:cs="仿宋_GB2312"/>
          <w:b w:val="0"/>
          <w:bCs w:val="0"/>
          <w:sz w:val="32"/>
          <w:szCs w:val="32"/>
          <w:highlight w:val="none"/>
          <w:lang w:val="en-US" w:eastAsia="zh-CN"/>
        </w:rPr>
        <w:t>贴合珠海海岛地理特征。充分考虑珠海多海岛、海岸线长的特点，针对海岛场景界定运行航线范围，在起降控制场布局上要求综合考虑地质条件、空域限制、周边生态，优先选择通讯信号稳定区域，远离民航航线相关区域，适配珠海海岛实际环境。二是满足地方产业需求。珠海作为无人机产业发展活跃地区，标准明确快递服务主体可独立或合作开展无人机快递服务，契合当地无人机企业与快递行业协同发展需求，为地方相关产业提供合规运营依据，助力打造海岛快件运输特色产业链。三</w:t>
      </w:r>
      <w:r>
        <w:rPr>
          <w:rFonts w:hint="eastAsia" w:ascii="仿宋_GB2312" w:hAnsi="仿宋_GB2312" w:eastAsia="仿宋_GB2312" w:cs="仿宋_GB2312"/>
          <w:b/>
          <w:bCs/>
          <w:sz w:val="32"/>
          <w:szCs w:val="32"/>
          <w:highlight w:val="none"/>
          <w:lang w:val="en-US" w:eastAsia="zh-CN"/>
        </w:rPr>
        <w:t>是</w:t>
      </w:r>
      <w:r>
        <w:rPr>
          <w:rFonts w:hint="eastAsia" w:ascii="仿宋_GB2312" w:hAnsi="仿宋_GB2312" w:eastAsia="仿宋_GB2312" w:cs="仿宋_GB2312"/>
          <w:b w:val="0"/>
          <w:bCs w:val="0"/>
          <w:sz w:val="32"/>
          <w:szCs w:val="32"/>
          <w:highlight w:val="none"/>
          <w:lang w:val="en-US" w:eastAsia="zh-CN"/>
        </w:rPr>
        <w:t>应对地方气候挑战。针对珠海台风、强降雨等常见极端天气，要求制定备降方案及货物滞留处理方案，明确跨海飞行时不同阶段的抗风能力标准（飞行期间不低于6级，起降阶段不低于4级），精准解决地方气候对海岛快件运输的影响。</w:t>
      </w:r>
      <w:r>
        <w:rPr>
          <w:rFonts w:hint="eastAsia" w:ascii="仿宋_GB2312" w:hAnsi="仿宋_GB2312" w:eastAsia="仿宋_GB2312" w:cs="仿宋_GB2312"/>
          <w:b w:val="0"/>
          <w:bCs w:val="0"/>
          <w:sz w:val="32"/>
          <w:szCs w:val="32"/>
          <w:highlight w:val="none"/>
          <w:lang w:val="en-US" w:eastAsia="zh-CN"/>
        </w:rPr>
        <w:t>本标准由珠海市邮政管理局提出并组织实施，</w:t>
      </w:r>
      <w:r>
        <w:rPr>
          <w:rFonts w:hint="eastAsia" w:ascii="仿宋_GB2312" w:hAnsi="仿宋_GB2312" w:eastAsia="仿宋_GB2312" w:cs="仿宋_GB2312"/>
          <w:color w:val="auto"/>
          <w:sz w:val="32"/>
          <w:szCs w:val="32"/>
          <w:highlight w:val="none"/>
          <w:lang w:val="en-US" w:eastAsia="zh-CN"/>
        </w:rPr>
        <w:t>广东省邮政管理局作为归口省级行政主管部门，由广东省低空经济标准化技术委员会（GD/TC 152）作为归口标准化技术管理委员会，由珠海市邮政管理局担任主导单位并与珠海万山海洋开发试验区管理委员会、广东省珠海市质量技术监督标准与编码所、广东省检验检测认证研究院集团有限公司等17家</w:t>
      </w:r>
      <w:r>
        <w:rPr>
          <w:rFonts w:hint="eastAsia" w:ascii="仿宋_GB2312" w:hAnsi="仿宋_GB2312" w:eastAsia="仿宋_GB2312" w:cs="仿宋_GB2312"/>
          <w:b w:val="0"/>
          <w:bCs w:val="0"/>
          <w:sz w:val="32"/>
          <w:szCs w:val="32"/>
          <w:highlight w:val="none"/>
          <w:lang w:val="en-US" w:eastAsia="zh-CN"/>
        </w:rPr>
        <w:t>广东省本土大型企业参与起草，充分吸收省内企业在无人驾驶航空器海岛快件运输的实操经验，结合了广东省内无人驾驶航空器海岛快件运输服务的现状、特点以及实际需求，具有较强的针对性和可操作性。</w:t>
      </w:r>
    </w:p>
    <w:p w14:paraId="6B6124B9">
      <w:pPr>
        <w:keepNext w:val="0"/>
        <w:keepLines w:val="0"/>
        <w:pageBreakBefore w:val="0"/>
        <w:kinsoku/>
        <w:wordWrap/>
        <w:overflowPunct/>
        <w:topLinePunct w:val="0"/>
        <w:bidi w:val="0"/>
        <w:adjustRightInd/>
        <w:spacing w:line="560" w:lineRule="exact"/>
        <w:ind w:firstLine="640" w:firstLineChars="200"/>
        <w:jc w:val="both"/>
        <w:textAlignment w:val="auto"/>
        <w:outlineLvl w:val="0"/>
        <w:rPr>
          <w:rFonts w:hint="eastAsia" w:ascii="黑体" w:hAnsi="黑体" w:eastAsia="黑体" w:cs="黑体"/>
          <w:b w:val="0"/>
          <w:bCs/>
          <w:kern w:val="0"/>
          <w:sz w:val="32"/>
          <w:szCs w:val="32"/>
          <w:highlight w:val="none"/>
          <w:lang w:eastAsia="zh-CN"/>
        </w:rPr>
      </w:pPr>
      <w:r>
        <w:rPr>
          <w:rFonts w:hint="eastAsia" w:ascii="黑体" w:hAnsi="黑体" w:eastAsia="黑体" w:cs="黑体"/>
          <w:b w:val="0"/>
          <w:bCs/>
          <w:kern w:val="0"/>
          <w:sz w:val="32"/>
          <w:szCs w:val="32"/>
          <w:highlight w:val="none"/>
          <w:lang w:eastAsia="zh-CN"/>
        </w:rPr>
        <w:t>七、标准的制定过程</w:t>
      </w:r>
    </w:p>
    <w:p w14:paraId="22394562">
      <w:pPr>
        <w:pStyle w:val="11"/>
        <w:keepNext w:val="0"/>
        <w:keepLines w:val="0"/>
        <w:pageBreakBefore w:val="0"/>
        <w:widowControl/>
        <w:tabs>
          <w:tab w:val="center" w:pos="4201"/>
          <w:tab w:val="right" w:leader="dot" w:pos="9298"/>
        </w:tabs>
        <w:kinsoku/>
        <w:wordWrap/>
        <w:overflowPunct/>
        <w:topLinePunct w:val="0"/>
        <w:autoSpaceDE w:val="0"/>
        <w:autoSpaceDN w:val="0"/>
        <w:bidi w:val="0"/>
        <w:adjustRightInd/>
        <w:snapToGrid/>
        <w:spacing w:line="560" w:lineRule="exact"/>
        <w:ind w:firstLine="640" w:firstLineChars="200"/>
        <w:jc w:val="both"/>
        <w:textAlignment w:val="auto"/>
        <w:outlineLvl w:val="1"/>
        <w:rPr>
          <w:rFonts w:hint="eastAsia" w:ascii="楷体_GB2312" w:hAnsi="楷体_GB2312" w:eastAsia="楷体_GB2312" w:cs="楷体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（一）申报立项阶段</w:t>
      </w:r>
    </w:p>
    <w:p w14:paraId="3694DB87">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珠海市邮政管理局、广东省珠海市质量技术监督标准与编码所联合相关单位第一时间成立了由技术专家、行业专业人士以及多家企业负责人组成的标准编制工作组，负责标准的调研、编制与指导工作</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2025年</w:t>
      </w:r>
      <w:r>
        <w:rPr>
          <w:rFonts w:hint="eastAsia" w:ascii="仿宋_GB2312" w:hAnsi="仿宋_GB2312" w:eastAsia="仿宋_GB2312" w:cs="仿宋_GB2312"/>
          <w:color w:val="auto"/>
          <w:sz w:val="32"/>
          <w:szCs w:val="32"/>
          <w:highlight w:val="none"/>
          <w:lang w:val="en-US" w:eastAsia="zh-CN"/>
        </w:rPr>
        <w:t>4月</w:t>
      </w:r>
      <w:r>
        <w:rPr>
          <w:rFonts w:hint="eastAsia" w:ascii="仿宋_GB2312" w:hAnsi="仿宋_GB2312" w:eastAsia="仿宋_GB2312" w:cs="仿宋_GB2312"/>
          <w:color w:val="auto"/>
          <w:sz w:val="32"/>
          <w:szCs w:val="32"/>
          <w:highlight w:val="none"/>
          <w:lang w:val="en-US" w:eastAsia="zh-CN"/>
        </w:rPr>
        <w:t>组织召开了标准编制工作组立项研讨会，会上工作组明确标准内容应当充分考虑海岛地区的特殊地理条件，分析无人机行业的发展现状和标准化需求，注重标准的可操作性和指导性。初步确定《无人驾驶航空器海岛快件运输服务指南》标准框架。</w:t>
      </w:r>
    </w:p>
    <w:p w14:paraId="378789AD">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2025年4月，珠海市邮政管理局联合起草单位提交立项建议书，同年5月广东省市场监督管理局发布《广东省市场监督管理局关于批准下达&lt;无人驾驶航空器海岛快件运输服务指南&gt;等3项低空经济领域地方标准制定计划的通知》（粤市监标准〔2025〕236号），广东省地方标准《无人驾驶航空器海岛快件运输服务指南》获批立项。</w:t>
      </w:r>
    </w:p>
    <w:p w14:paraId="27975CBE">
      <w:pPr>
        <w:pStyle w:val="11"/>
        <w:keepNext w:val="0"/>
        <w:keepLines w:val="0"/>
        <w:pageBreakBefore w:val="0"/>
        <w:widowControl/>
        <w:tabs>
          <w:tab w:val="center" w:pos="4201"/>
          <w:tab w:val="right" w:leader="dot" w:pos="9298"/>
        </w:tabs>
        <w:kinsoku/>
        <w:wordWrap/>
        <w:overflowPunct/>
        <w:topLinePunct w:val="0"/>
        <w:autoSpaceDE w:val="0"/>
        <w:autoSpaceDN w:val="0"/>
        <w:bidi w:val="0"/>
        <w:adjustRightInd/>
        <w:snapToGrid/>
        <w:spacing w:line="560" w:lineRule="exact"/>
        <w:ind w:firstLine="640" w:firstLineChars="200"/>
        <w:jc w:val="both"/>
        <w:textAlignment w:val="auto"/>
        <w:outlineLvl w:val="1"/>
        <w:rPr>
          <w:rFonts w:hint="eastAsia" w:ascii="楷体_GB2312" w:hAnsi="楷体_GB2312" w:eastAsia="楷体_GB2312" w:cs="楷体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（二）资料收集阶段</w:t>
      </w:r>
    </w:p>
    <w:p w14:paraId="24AC0861">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2025年5月—6月，《无人驾驶航空器海岛快件运输服务指南》</w:t>
      </w:r>
      <w:r>
        <w:rPr>
          <w:rFonts w:hint="eastAsia" w:ascii="仿宋_GB2312" w:hAnsi="仿宋_GB2312" w:eastAsia="仿宋_GB2312" w:cs="仿宋_GB2312"/>
          <w:color w:val="auto"/>
          <w:sz w:val="32"/>
          <w:szCs w:val="32"/>
          <w:highlight w:val="none"/>
        </w:rPr>
        <w:t>经批准作为广东省地方标准正式立项后，</w:t>
      </w:r>
      <w:r>
        <w:rPr>
          <w:rFonts w:hint="eastAsia" w:ascii="仿宋_GB2312" w:hAnsi="仿宋_GB2312" w:eastAsia="仿宋_GB2312" w:cs="仿宋_GB2312"/>
          <w:color w:val="auto"/>
          <w:sz w:val="32"/>
          <w:szCs w:val="32"/>
          <w:highlight w:val="none"/>
          <w:lang w:val="en-US" w:eastAsia="zh-CN"/>
        </w:rPr>
        <w:t>工作组收集梳理国内外法律政策、行业指引、学术文献，分析研究无人驾驶航空器海岛快件运输典型案例。</w:t>
      </w:r>
    </w:p>
    <w:p w14:paraId="23C99290">
      <w:pPr>
        <w:pStyle w:val="11"/>
        <w:keepNext w:val="0"/>
        <w:keepLines w:val="0"/>
        <w:pageBreakBefore w:val="0"/>
        <w:widowControl/>
        <w:tabs>
          <w:tab w:val="center" w:pos="4201"/>
          <w:tab w:val="right" w:leader="dot" w:pos="9298"/>
        </w:tabs>
        <w:kinsoku/>
        <w:wordWrap/>
        <w:overflowPunct/>
        <w:topLinePunct w:val="0"/>
        <w:autoSpaceDE w:val="0"/>
        <w:autoSpaceDN w:val="0"/>
        <w:bidi w:val="0"/>
        <w:adjustRightInd/>
        <w:snapToGrid/>
        <w:spacing w:line="560" w:lineRule="exact"/>
        <w:ind w:firstLine="640" w:firstLineChars="200"/>
        <w:jc w:val="both"/>
        <w:textAlignment w:val="auto"/>
        <w:outlineLvl w:val="1"/>
        <w:rPr>
          <w:rFonts w:hint="eastAsia" w:ascii="楷体_GB2312" w:hAnsi="楷体_GB2312" w:eastAsia="楷体_GB2312" w:cs="楷体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（三）标准起草和研讨阶段</w:t>
      </w:r>
    </w:p>
    <w:p w14:paraId="014FA936">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1.2025年6月，</w:t>
      </w:r>
      <w:r>
        <w:rPr>
          <w:rFonts w:hint="eastAsia" w:ascii="仿宋_GB2312" w:hAnsi="仿宋_GB2312" w:eastAsia="仿宋_GB2312" w:cs="仿宋_GB2312"/>
          <w:color w:val="auto"/>
          <w:sz w:val="32"/>
          <w:szCs w:val="32"/>
          <w:highlight w:val="none"/>
        </w:rPr>
        <w:t>标准编制</w:t>
      </w:r>
      <w:r>
        <w:rPr>
          <w:rFonts w:hint="eastAsia" w:ascii="仿宋_GB2312" w:hAnsi="仿宋_GB2312" w:eastAsia="仿宋_GB2312" w:cs="仿宋_GB2312"/>
          <w:color w:val="auto"/>
          <w:sz w:val="32"/>
          <w:szCs w:val="32"/>
          <w:highlight w:val="none"/>
          <w:lang w:val="en-US" w:eastAsia="zh-CN"/>
        </w:rPr>
        <w:t>工作</w:t>
      </w:r>
      <w:r>
        <w:rPr>
          <w:rFonts w:hint="eastAsia" w:ascii="仿宋_GB2312" w:hAnsi="仿宋_GB2312" w:eastAsia="仿宋_GB2312" w:cs="仿宋_GB2312"/>
          <w:color w:val="auto"/>
          <w:sz w:val="32"/>
          <w:szCs w:val="32"/>
          <w:highlight w:val="none"/>
        </w:rPr>
        <w:t>组制定了工作计划并</w:t>
      </w:r>
      <w:r>
        <w:rPr>
          <w:rFonts w:hint="eastAsia" w:ascii="仿宋_GB2312" w:hAnsi="仿宋_GB2312" w:eastAsia="仿宋_GB2312" w:cs="仿宋_GB2312"/>
          <w:color w:val="auto"/>
          <w:sz w:val="32"/>
          <w:szCs w:val="32"/>
          <w:highlight w:val="none"/>
          <w:lang w:val="en-US" w:eastAsia="zh-CN"/>
        </w:rPr>
        <w:t>多次</w:t>
      </w:r>
      <w:r>
        <w:rPr>
          <w:rFonts w:hint="eastAsia" w:ascii="仿宋_GB2312" w:hAnsi="仿宋_GB2312" w:eastAsia="仿宋_GB2312" w:cs="仿宋_GB2312"/>
          <w:color w:val="auto"/>
          <w:sz w:val="32"/>
          <w:szCs w:val="32"/>
          <w:highlight w:val="none"/>
        </w:rPr>
        <w:t>召开编制组工作人员会议，明确了任务要求</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人员分工、</w:t>
      </w:r>
      <w:r>
        <w:rPr>
          <w:rFonts w:hint="eastAsia" w:ascii="仿宋_GB2312" w:hAnsi="仿宋_GB2312" w:eastAsia="仿宋_GB2312" w:cs="仿宋_GB2312"/>
          <w:color w:val="auto"/>
          <w:sz w:val="32"/>
          <w:szCs w:val="32"/>
          <w:highlight w:val="none"/>
        </w:rPr>
        <w:t>工作进度</w:t>
      </w:r>
      <w:r>
        <w:rPr>
          <w:rFonts w:hint="eastAsia" w:ascii="仿宋_GB2312" w:hAnsi="仿宋_GB2312" w:eastAsia="仿宋_GB2312" w:cs="仿宋_GB2312"/>
          <w:color w:val="auto"/>
          <w:sz w:val="32"/>
          <w:szCs w:val="32"/>
          <w:highlight w:val="none"/>
          <w:lang w:val="en-US" w:eastAsia="zh-CN"/>
        </w:rPr>
        <w:t>安排等</w:t>
      </w:r>
      <w:r>
        <w:rPr>
          <w:rFonts w:hint="eastAsia" w:ascii="仿宋_GB2312" w:hAnsi="仿宋_GB2312" w:eastAsia="仿宋_GB2312" w:cs="仿宋_GB2312"/>
          <w:color w:val="auto"/>
          <w:sz w:val="32"/>
          <w:szCs w:val="32"/>
          <w:highlight w:val="none"/>
          <w:lang w:eastAsia="zh-CN"/>
        </w:rPr>
        <w:t>，为推进项目顺利实施奠定了良好的基础。</w:t>
      </w:r>
      <w:r>
        <w:rPr>
          <w:rFonts w:hint="eastAsia" w:ascii="仿宋_GB2312" w:hAnsi="仿宋_GB2312" w:eastAsia="仿宋_GB2312" w:cs="仿宋_GB2312"/>
          <w:color w:val="auto"/>
          <w:sz w:val="32"/>
          <w:szCs w:val="32"/>
          <w:highlight w:val="none"/>
          <w:lang w:val="en-US" w:eastAsia="zh-CN"/>
        </w:rPr>
        <w:tab/>
      </w:r>
    </w:p>
    <w:p w14:paraId="213AAF4A">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2.为深入了解低空物流的实际情况，</w:t>
      </w:r>
      <w:r>
        <w:rPr>
          <w:rFonts w:hint="eastAsia" w:ascii="仿宋_GB2312" w:hAnsi="仿宋_GB2312" w:eastAsia="仿宋_GB2312" w:cs="仿宋_GB2312"/>
          <w:color w:val="auto"/>
          <w:sz w:val="32"/>
          <w:szCs w:val="32"/>
          <w:highlight w:val="none"/>
        </w:rPr>
        <w:t>202</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rPr>
        <w:t>年</w:t>
      </w:r>
      <w:r>
        <w:rPr>
          <w:rFonts w:hint="eastAsia" w:ascii="仿宋_GB2312" w:hAnsi="仿宋_GB2312" w:eastAsia="仿宋_GB2312" w:cs="仿宋_GB2312"/>
          <w:color w:val="auto"/>
          <w:sz w:val="32"/>
          <w:szCs w:val="32"/>
          <w:highlight w:val="none"/>
          <w:lang w:val="en-US" w:eastAsia="zh-CN"/>
        </w:rPr>
        <w:t>7</w:t>
      </w:r>
      <w:r>
        <w:rPr>
          <w:rFonts w:hint="eastAsia" w:ascii="仿宋_GB2312" w:hAnsi="仿宋_GB2312" w:eastAsia="仿宋_GB2312" w:cs="仿宋_GB2312"/>
          <w:color w:val="auto"/>
          <w:sz w:val="32"/>
          <w:szCs w:val="32"/>
          <w:highlight w:val="none"/>
        </w:rPr>
        <w:t>月</w:t>
      </w:r>
      <w:r>
        <w:rPr>
          <w:rFonts w:hint="eastAsia" w:ascii="仿宋_GB2312" w:hAnsi="仿宋_GB2312" w:eastAsia="仿宋_GB2312" w:cs="仿宋_GB2312"/>
          <w:color w:val="auto"/>
          <w:sz w:val="32"/>
          <w:szCs w:val="32"/>
          <w:highlight w:val="none"/>
          <w:lang w:val="en-US" w:eastAsia="zh-CN"/>
        </w:rPr>
        <w:t>-9月</w:t>
      </w:r>
      <w:r>
        <w:rPr>
          <w:rFonts w:hint="eastAsia" w:ascii="仿宋_GB2312" w:hAnsi="仿宋_GB2312" w:eastAsia="仿宋_GB2312" w:cs="仿宋_GB2312"/>
          <w:color w:val="auto"/>
          <w:sz w:val="32"/>
          <w:szCs w:val="32"/>
          <w:highlight w:val="none"/>
        </w:rPr>
        <w:t>，标准编制工作组针对</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无人驾驶航空器海岛快件运输服务指南》</w:t>
      </w:r>
      <w:r>
        <w:rPr>
          <w:rFonts w:hint="eastAsia" w:ascii="仿宋_GB2312" w:hAnsi="仿宋_GB2312" w:eastAsia="仿宋_GB2312" w:cs="仿宋_GB2312"/>
          <w:color w:val="auto"/>
          <w:sz w:val="32"/>
          <w:szCs w:val="32"/>
          <w:highlight w:val="none"/>
        </w:rPr>
        <w:t>的制定工作</w:t>
      </w:r>
      <w:r>
        <w:rPr>
          <w:rFonts w:hint="eastAsia" w:ascii="仿宋_GB2312" w:hAnsi="仿宋_GB2312" w:eastAsia="仿宋_GB2312" w:cs="仿宋_GB2312"/>
          <w:color w:val="auto"/>
          <w:sz w:val="32"/>
          <w:szCs w:val="32"/>
          <w:highlight w:val="none"/>
          <w:lang w:val="en-US" w:eastAsia="zh-CN"/>
        </w:rPr>
        <w:t>多次</w:t>
      </w:r>
      <w:r>
        <w:rPr>
          <w:rFonts w:hint="eastAsia" w:ascii="仿宋_GB2312" w:hAnsi="仿宋_GB2312" w:eastAsia="仿宋_GB2312" w:cs="仿宋_GB2312"/>
          <w:color w:val="auto"/>
          <w:sz w:val="32"/>
          <w:szCs w:val="32"/>
          <w:highlight w:val="none"/>
        </w:rPr>
        <w:t>展开了全面且深入的研究与实地调研</w:t>
      </w:r>
      <w:r>
        <w:rPr>
          <w:rFonts w:hint="eastAsia" w:ascii="仿宋_GB2312" w:hAnsi="仿宋_GB2312" w:eastAsia="仿宋_GB2312" w:cs="仿宋_GB2312"/>
          <w:color w:val="auto"/>
          <w:sz w:val="32"/>
          <w:szCs w:val="32"/>
          <w:highlight w:val="none"/>
          <w:lang w:eastAsia="zh-CN"/>
        </w:rPr>
        <w:t>，调研团队</w:t>
      </w:r>
      <w:r>
        <w:rPr>
          <w:rFonts w:hint="eastAsia" w:ascii="仿宋_GB2312" w:hAnsi="仿宋_GB2312" w:eastAsia="仿宋_GB2312" w:cs="仿宋_GB2312"/>
          <w:color w:val="auto"/>
          <w:sz w:val="32"/>
          <w:szCs w:val="32"/>
          <w:highlight w:val="none"/>
          <w:lang w:val="en-US" w:eastAsia="zh-CN"/>
        </w:rPr>
        <w:t>先后</w:t>
      </w:r>
      <w:r>
        <w:rPr>
          <w:rFonts w:hint="eastAsia" w:ascii="仿宋_GB2312" w:hAnsi="仿宋_GB2312" w:eastAsia="仿宋_GB2312" w:cs="仿宋_GB2312"/>
          <w:color w:val="auto"/>
          <w:sz w:val="32"/>
          <w:szCs w:val="32"/>
          <w:highlight w:val="none"/>
          <w:lang w:eastAsia="zh-CN"/>
        </w:rPr>
        <w:t>前往万翼天下（珠海）航空有限公司、</w:t>
      </w:r>
      <w:r>
        <w:rPr>
          <w:rFonts w:hint="eastAsia" w:ascii="仿宋_GB2312" w:hAnsi="仿宋_GB2312" w:eastAsia="仿宋_GB2312" w:cs="仿宋_GB2312"/>
          <w:color w:val="auto"/>
          <w:sz w:val="32"/>
          <w:szCs w:val="32"/>
          <w:highlight w:val="none"/>
          <w:lang w:val="en-US" w:eastAsia="zh-CN"/>
        </w:rPr>
        <w:t>浙江省舟山市邮政管理局、舟山市</w:t>
      </w:r>
      <w:r>
        <w:rPr>
          <w:rFonts w:hint="eastAsia" w:ascii="仿宋_GB2312" w:hAnsi="仿宋_GB2312" w:eastAsia="仿宋_GB2312" w:cs="仿宋_GB2312"/>
          <w:kern w:val="2"/>
          <w:sz w:val="32"/>
          <w:szCs w:val="32"/>
          <w:highlight w:val="none"/>
          <w:lang w:val="en-US" w:eastAsia="zh-CN" w:bidi="ar-SA"/>
        </w:rPr>
        <w:t>盘峙岛无人机起降场、</w:t>
      </w:r>
      <w:r>
        <w:rPr>
          <w:rFonts w:hint="eastAsia" w:ascii="仿宋_GB2312" w:hAnsi="仿宋_GB2312" w:eastAsia="仿宋_GB2312" w:cs="仿宋_GB2312"/>
          <w:color w:val="auto"/>
          <w:sz w:val="32"/>
          <w:szCs w:val="32"/>
          <w:highlight w:val="none"/>
          <w:lang w:val="en-US" w:eastAsia="zh-CN"/>
        </w:rPr>
        <w:t>普陀区无人机公共起降场</w:t>
      </w:r>
      <w:r>
        <w:rPr>
          <w:rFonts w:hint="eastAsia" w:ascii="仿宋_GB2312" w:hAnsi="仿宋_GB2312" w:eastAsia="仿宋_GB2312" w:cs="仿宋_GB2312"/>
          <w:kern w:val="2"/>
          <w:sz w:val="32"/>
          <w:szCs w:val="32"/>
          <w:highlight w:val="none"/>
          <w:lang w:val="en-US" w:eastAsia="zh-CN" w:bidi="ar-SA"/>
        </w:rPr>
        <w:t>等相关企业、基地，实地考察无人机运营基地及海岛无人机起降场，了解基础设施建设、日常运营管理情况，调研海岛快件全流程运作机制，</w:t>
      </w:r>
      <w:r>
        <w:rPr>
          <w:rFonts w:hint="eastAsia" w:ascii="仿宋_GB2312" w:hAnsi="仿宋_GB2312" w:eastAsia="仿宋_GB2312" w:cs="仿宋_GB2312"/>
          <w:color w:val="auto"/>
          <w:sz w:val="32"/>
          <w:szCs w:val="32"/>
          <w:highlight w:val="none"/>
          <w:lang w:eastAsia="zh-CN"/>
        </w:rPr>
        <w:t>详细了解他们</w:t>
      </w:r>
      <w:r>
        <w:rPr>
          <w:rFonts w:hint="eastAsia" w:ascii="仿宋_GB2312" w:hAnsi="仿宋_GB2312" w:eastAsia="仿宋_GB2312" w:cs="仿宋_GB2312"/>
          <w:color w:val="auto"/>
          <w:sz w:val="32"/>
          <w:szCs w:val="32"/>
          <w:highlight w:val="none"/>
          <w:lang w:val="en-US" w:eastAsia="zh-CN"/>
        </w:rPr>
        <w:t>在</w:t>
      </w:r>
      <w:r>
        <w:rPr>
          <w:rFonts w:hint="eastAsia" w:ascii="仿宋_GB2312" w:hAnsi="仿宋_GB2312" w:eastAsia="仿宋_GB2312" w:cs="仿宋_GB2312"/>
          <w:kern w:val="2"/>
          <w:sz w:val="32"/>
          <w:szCs w:val="32"/>
          <w:highlight w:val="none"/>
          <w:lang w:val="en-US" w:eastAsia="zh-CN" w:bidi="ar-SA"/>
        </w:rPr>
        <w:t>海岛低空物流发展政策、运营模式、管理经验以及</w:t>
      </w:r>
      <w:r>
        <w:rPr>
          <w:rFonts w:hint="eastAsia" w:ascii="仿宋_GB2312" w:hAnsi="仿宋_GB2312" w:eastAsia="仿宋_GB2312" w:cs="仿宋_GB2312"/>
          <w:color w:val="auto"/>
          <w:sz w:val="32"/>
          <w:szCs w:val="32"/>
          <w:highlight w:val="none"/>
          <w:lang w:eastAsia="zh-CN"/>
        </w:rPr>
        <w:t>标准编制及宣贯等方面的做法、面临的问题以及对标准制定的意见和建议，为标准的编制提供了有力支撑。</w:t>
      </w:r>
      <w:r>
        <w:rPr>
          <w:rFonts w:hint="eastAsia" w:ascii="仿宋_GB2312" w:hAnsi="仿宋_GB2312" w:eastAsia="仿宋_GB2312" w:cs="仿宋_GB2312"/>
          <w:color w:val="auto"/>
          <w:sz w:val="32"/>
          <w:szCs w:val="32"/>
          <w:highlight w:val="none"/>
          <w:lang w:val="en-US" w:eastAsia="zh-CN"/>
        </w:rPr>
        <w:t xml:space="preserve">   </w:t>
      </w:r>
    </w:p>
    <w:p w14:paraId="09B6B3DF">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在上述框架基础上，结合之前的资料收集情况，形成</w:t>
      </w:r>
      <w:r>
        <w:rPr>
          <w:rFonts w:hint="eastAsia" w:ascii="仿宋_GB2312" w:hAnsi="仿宋_GB2312" w:eastAsia="仿宋_GB2312" w:cs="仿宋_GB2312"/>
          <w:b/>
          <w:bCs/>
          <w:color w:val="auto"/>
          <w:sz w:val="32"/>
          <w:szCs w:val="32"/>
          <w:highlight w:val="none"/>
          <w:lang w:val="en-US" w:eastAsia="zh-CN"/>
        </w:rPr>
        <w:t>标准草案稿</w:t>
      </w:r>
      <w:r>
        <w:rPr>
          <w:rFonts w:hint="eastAsia" w:ascii="仿宋_GB2312" w:hAnsi="仿宋_GB2312" w:eastAsia="仿宋_GB2312" w:cs="仿宋_GB2312"/>
          <w:color w:val="auto"/>
          <w:sz w:val="32"/>
          <w:szCs w:val="32"/>
          <w:highlight w:val="none"/>
          <w:lang w:val="en-US" w:eastAsia="zh-CN"/>
        </w:rPr>
        <w:t>。</w:t>
      </w:r>
    </w:p>
    <w:p w14:paraId="23676C10">
      <w:pPr>
        <w:pStyle w:val="11"/>
        <w:keepNext w:val="0"/>
        <w:keepLines w:val="0"/>
        <w:pageBreakBefore w:val="0"/>
        <w:widowControl/>
        <w:tabs>
          <w:tab w:val="center" w:pos="4201"/>
          <w:tab w:val="right" w:leader="dot" w:pos="9298"/>
        </w:tabs>
        <w:kinsoku/>
        <w:wordWrap/>
        <w:overflowPunct/>
        <w:topLinePunct w:val="0"/>
        <w:autoSpaceDE w:val="0"/>
        <w:autoSpaceDN w:val="0"/>
        <w:bidi w:val="0"/>
        <w:adjustRightInd/>
        <w:snapToGrid/>
        <w:spacing w:line="560" w:lineRule="exact"/>
        <w:ind w:firstLine="640" w:firstLineChars="200"/>
        <w:jc w:val="both"/>
        <w:textAlignment w:val="auto"/>
        <w:outlineLvl w:val="1"/>
        <w:rPr>
          <w:rFonts w:hint="eastAsia" w:ascii="楷体_GB2312" w:hAnsi="楷体_GB2312" w:eastAsia="楷体_GB2312" w:cs="楷体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（四）讨论稿阶段</w:t>
      </w:r>
    </w:p>
    <w:p w14:paraId="0CCE0A4A">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lang w:val="en-US" w:eastAsia="zh-CN"/>
        </w:rPr>
        <w:t>2025年10月27日</w:t>
      </w:r>
      <w:r>
        <w:rPr>
          <w:rFonts w:hint="eastAsia" w:ascii="仿宋_GB2312" w:hAnsi="仿宋_GB2312" w:eastAsia="仿宋_GB2312" w:cs="仿宋_GB2312"/>
          <w:color w:val="auto"/>
          <w:sz w:val="32"/>
          <w:szCs w:val="32"/>
          <w:highlight w:val="none"/>
          <w:lang w:val="en-US" w:eastAsia="zh-CN"/>
        </w:rPr>
        <w:t>，标准编制工作组在广东省珠海市质量技术监督标准与编码所会议室组织召开了“《无人驾驶航空器快件运输服务指南》广东省地方标准专家研讨会”，参与研讨有来自工业和信息化部电子第五研究所，广东省标准化研究院，广东工业大学，澳门低空科技产业协会，广东省标准化协会，北京德恒（珠海）律师事务所等单位的6位专家。专家对标准草案稿进行框架和具体条款的修改，形成的修改意见主要集中在以下几个方面：</w:t>
      </w:r>
    </w:p>
    <w:p w14:paraId="062209DD">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kern w:val="2"/>
          <w:sz w:val="32"/>
          <w:szCs w:val="32"/>
          <w:highlight w:val="none"/>
          <w:lang w:val="en-US" w:eastAsia="zh-CN" w:bidi="ar-SA"/>
        </w:rPr>
        <w:t>（1）增强与海岛特色相关的条款内容，以提升标准的针对性和适用性。例如，在：“寄、收件人沟通”部分补充针对“鲜活易腐货物”的运输要求，并完善从寄件到收件的全流程操作指南</w:t>
      </w:r>
      <w:r>
        <w:rPr>
          <w:rFonts w:hint="eastAsia" w:ascii="仿宋_GB2312" w:hAnsi="仿宋_GB2312" w:eastAsia="仿宋_GB2312" w:cs="仿宋_GB2312"/>
          <w:color w:val="auto"/>
          <w:sz w:val="32"/>
          <w:szCs w:val="32"/>
          <w:highlight w:val="none"/>
          <w:lang w:val="en-US" w:eastAsia="zh-CN"/>
        </w:rPr>
        <w:t>。在“起降控制场”选址建设方面，增加对“海上船只、军事区域、鸟类栖息地”等周边环境的规避要求，并明确“海岛环境防腐蚀”等特殊建设要求。</w:t>
      </w:r>
    </w:p>
    <w:p w14:paraId="0F576527">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kern w:val="2"/>
          <w:sz w:val="32"/>
          <w:szCs w:val="32"/>
          <w:highlight w:val="none"/>
          <w:lang w:val="en-US" w:eastAsia="zh-CN" w:bidi="ar-SA"/>
        </w:rPr>
        <w:t>（2）完善快递无人机运营组织的人员要求，</w:t>
      </w:r>
      <w:r>
        <w:rPr>
          <w:rFonts w:hint="eastAsia" w:ascii="仿宋_GB2312" w:hAnsi="仿宋_GB2312" w:eastAsia="仿宋_GB2312" w:cs="仿宋_GB2312"/>
          <w:color w:val="auto"/>
          <w:sz w:val="32"/>
          <w:szCs w:val="32"/>
          <w:highlight w:val="none"/>
          <w:lang w:val="en-US" w:eastAsia="zh-CN"/>
        </w:rPr>
        <w:t>补充驾驶员/操控员，起降控制场的术语和定义，使标准内容更全面。具体包括：在“人员”部分细化“驾驶员”职责并在“术语和定义”中予以明确定义，增加“安全管理员”的岗位要求，以及在“维修人员”部分补充针对海岛特殊环境的维护规范。</w:t>
      </w:r>
    </w:p>
    <w:p w14:paraId="7496D3EF">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（3）调整标准中部分表述及不合理之处，优化标准结构与流程，增强逻辑连贯性与结构合理性，使其更贴合实际应用。将“突发应急处置预案”调整至“保险”部分之后，以提升整体内容的逻辑一致性。</w:t>
      </w:r>
    </w:p>
    <w:p w14:paraId="7699BBC2">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4）进一步明确多项关键指标，细化无人机的运输要求，保障无人机在运输过程中的安全性。例如，在：“运输服务时”中增加“定位系统、导航系统、自动驾驶”等技术要求，增加突发状况的应急处置指引，并引入具有海岛特色的“环境参数（如风力、风向、降水、能见度、海浪等）”监测内容。</w:t>
      </w:r>
    </w:p>
    <w:p w14:paraId="57C1C114">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（5）补充多种异常天气情况下的应急预案及实际演练安排，确保在突发情况下有章可循、应对有序。例如，在：“突发应急处置预案”中增加“相关部门建立应急联动与信息通报机制”的相关规定。</w:t>
      </w:r>
    </w:p>
    <w:p w14:paraId="0FD802EE">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根据研讨会专家提出的意见建议，起草小组经过研讨形成</w:t>
      </w:r>
      <w:r>
        <w:rPr>
          <w:rFonts w:hint="eastAsia" w:ascii="仿宋_GB2312" w:hAnsi="仿宋_GB2312" w:eastAsia="仿宋_GB2312" w:cs="仿宋_GB2312"/>
          <w:b/>
          <w:bCs/>
          <w:color w:val="auto"/>
          <w:sz w:val="32"/>
          <w:szCs w:val="32"/>
          <w:highlight w:val="none"/>
          <w:lang w:val="en-US" w:eastAsia="zh-CN"/>
        </w:rPr>
        <w:t>标准讨论稿</w:t>
      </w:r>
      <w:r>
        <w:rPr>
          <w:rFonts w:hint="eastAsia" w:ascii="仿宋_GB2312" w:hAnsi="仿宋_GB2312" w:eastAsia="仿宋_GB2312" w:cs="仿宋_GB2312"/>
          <w:color w:val="auto"/>
          <w:sz w:val="32"/>
          <w:szCs w:val="32"/>
          <w:highlight w:val="none"/>
          <w:lang w:val="en-US" w:eastAsia="zh-CN"/>
        </w:rPr>
        <w:t>。</w:t>
      </w:r>
    </w:p>
    <w:p w14:paraId="39876333">
      <w:pPr>
        <w:pStyle w:val="11"/>
        <w:keepNext w:val="0"/>
        <w:keepLines w:val="0"/>
        <w:pageBreakBefore w:val="0"/>
        <w:widowControl/>
        <w:tabs>
          <w:tab w:val="center" w:pos="4201"/>
          <w:tab w:val="right" w:leader="dot" w:pos="9298"/>
        </w:tabs>
        <w:kinsoku/>
        <w:wordWrap/>
        <w:overflowPunct/>
        <w:topLinePunct w:val="0"/>
        <w:autoSpaceDE w:val="0"/>
        <w:autoSpaceDN w:val="0"/>
        <w:bidi w:val="0"/>
        <w:adjustRightInd/>
        <w:snapToGrid/>
        <w:spacing w:line="560" w:lineRule="exact"/>
        <w:ind w:firstLine="640" w:firstLineChars="200"/>
        <w:jc w:val="both"/>
        <w:textAlignment w:val="auto"/>
        <w:outlineLvl w:val="1"/>
        <w:rPr>
          <w:rFonts w:hint="eastAsia" w:ascii="楷体_GB2312" w:hAnsi="楷体_GB2312" w:eastAsia="楷体_GB2312" w:cs="楷体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（五）征求意见稿阶段</w:t>
      </w:r>
    </w:p>
    <w:p w14:paraId="4D3CF670">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2025年10月-11月，标准编制工作组召开了多</w:t>
      </w:r>
      <w:r>
        <w:rPr>
          <w:rFonts w:hint="eastAsia" w:ascii="仿宋_GB2312" w:hAnsi="仿宋_GB2312" w:eastAsia="仿宋_GB2312" w:cs="仿宋_GB2312"/>
          <w:color w:val="auto"/>
          <w:sz w:val="32"/>
          <w:szCs w:val="32"/>
          <w:highlight w:val="none"/>
        </w:rPr>
        <w:t>次工作会议，听取不同角度的意见，从标准文本框架、内容、格式等方面对标准</w:t>
      </w:r>
      <w:r>
        <w:rPr>
          <w:rFonts w:hint="eastAsia" w:ascii="仿宋_GB2312" w:hAnsi="仿宋_GB2312" w:eastAsia="仿宋_GB2312" w:cs="仿宋_GB2312"/>
          <w:color w:val="auto"/>
          <w:sz w:val="32"/>
          <w:szCs w:val="32"/>
          <w:highlight w:val="none"/>
          <w:lang w:val="en-US" w:eastAsia="zh-CN"/>
        </w:rPr>
        <w:t>讨论稿</w:t>
      </w:r>
      <w:r>
        <w:rPr>
          <w:rFonts w:hint="eastAsia" w:ascii="仿宋_GB2312" w:hAnsi="仿宋_GB2312" w:eastAsia="仿宋_GB2312" w:cs="仿宋_GB2312"/>
          <w:color w:val="auto"/>
          <w:sz w:val="32"/>
          <w:szCs w:val="32"/>
          <w:highlight w:val="none"/>
        </w:rPr>
        <w:t>进行了全面讨论与优化。标准编制工作组根据有关意见和建议对草案进行修改、调整及补充，形成了征求意见稿。</w:t>
      </w:r>
    </w:p>
    <w:p w14:paraId="65EF82D8">
      <w:pPr>
        <w:keepNext w:val="0"/>
        <w:keepLines w:val="0"/>
        <w:pageBreakBefore w:val="0"/>
        <w:kinsoku/>
        <w:wordWrap/>
        <w:overflowPunct/>
        <w:topLinePunct w:val="0"/>
        <w:bidi w:val="0"/>
        <w:adjustRightInd/>
        <w:spacing w:line="560" w:lineRule="exact"/>
        <w:ind w:firstLine="640" w:firstLineChars="200"/>
        <w:jc w:val="both"/>
        <w:textAlignment w:val="auto"/>
        <w:outlineLvl w:val="0"/>
        <w:rPr>
          <w:rFonts w:hint="eastAsia" w:ascii="黑体" w:hAnsi="黑体" w:eastAsia="黑体" w:cs="黑体"/>
          <w:b w:val="0"/>
          <w:bCs/>
          <w:kern w:val="0"/>
          <w:sz w:val="32"/>
          <w:szCs w:val="32"/>
          <w:highlight w:val="none"/>
          <w:lang w:eastAsia="zh-CN"/>
        </w:rPr>
      </w:pPr>
      <w:r>
        <w:rPr>
          <w:rFonts w:hint="eastAsia" w:ascii="黑体" w:hAnsi="黑体" w:eastAsia="黑体" w:cs="黑体"/>
          <w:b w:val="0"/>
          <w:bCs/>
          <w:kern w:val="0"/>
          <w:sz w:val="32"/>
          <w:szCs w:val="32"/>
          <w:highlight w:val="none"/>
          <w:lang w:eastAsia="zh-CN"/>
        </w:rPr>
        <w:t>八、技术指标设置的科学性和可行性</w:t>
      </w:r>
    </w:p>
    <w:p w14:paraId="7945C469">
      <w:pPr>
        <w:pStyle w:val="11"/>
        <w:keepNext w:val="0"/>
        <w:keepLines w:val="0"/>
        <w:pageBreakBefore w:val="0"/>
        <w:tabs>
          <w:tab w:val="center" w:pos="4201"/>
          <w:tab w:val="right" w:leader="dot" w:pos="9298"/>
        </w:tabs>
        <w:kinsoku/>
        <w:wordWrap/>
        <w:overflowPunct/>
        <w:topLinePunct w:val="0"/>
        <w:bidi w:val="0"/>
        <w:adjustRightInd/>
        <w:spacing w:line="560" w:lineRule="exact"/>
        <w:ind w:firstLine="48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本标准不设量化技术指标，所有要求均为过程管理、制度建设和行为指引，具有普遍适用性和可验证性。</w:t>
      </w:r>
    </w:p>
    <w:p w14:paraId="08D06AA3">
      <w:pPr>
        <w:keepNext w:val="0"/>
        <w:keepLines w:val="0"/>
        <w:pageBreakBefore w:val="0"/>
        <w:kinsoku/>
        <w:wordWrap/>
        <w:overflowPunct/>
        <w:topLinePunct w:val="0"/>
        <w:bidi w:val="0"/>
        <w:adjustRightInd/>
        <w:spacing w:line="560" w:lineRule="exact"/>
        <w:ind w:firstLine="640" w:firstLineChars="200"/>
        <w:jc w:val="both"/>
        <w:textAlignment w:val="auto"/>
        <w:outlineLvl w:val="0"/>
        <w:rPr>
          <w:rFonts w:hint="eastAsia" w:ascii="黑体" w:hAnsi="黑体" w:eastAsia="黑体" w:cs="黑体"/>
          <w:b w:val="0"/>
          <w:bCs/>
          <w:kern w:val="0"/>
          <w:sz w:val="32"/>
          <w:szCs w:val="32"/>
          <w:highlight w:val="none"/>
          <w:lang w:eastAsia="zh-CN"/>
        </w:rPr>
      </w:pPr>
      <w:r>
        <w:rPr>
          <w:rFonts w:hint="eastAsia" w:ascii="黑体" w:hAnsi="黑体" w:eastAsia="黑体" w:cs="黑体"/>
          <w:b w:val="0"/>
          <w:bCs/>
          <w:kern w:val="0"/>
          <w:sz w:val="32"/>
          <w:szCs w:val="32"/>
          <w:highlight w:val="none"/>
          <w:lang w:eastAsia="zh-CN"/>
        </w:rPr>
        <w:t>九、与国际、国家、行业、其他省同类标准技术内容的对比情况</w:t>
      </w:r>
    </w:p>
    <w:p w14:paraId="60C14336">
      <w:pPr>
        <w:pStyle w:val="11"/>
        <w:keepNext w:val="0"/>
        <w:keepLines w:val="0"/>
        <w:pageBreakBefore w:val="0"/>
        <w:widowControl/>
        <w:tabs>
          <w:tab w:val="center" w:pos="4201"/>
          <w:tab w:val="right" w:leader="dot" w:pos="9298"/>
        </w:tabs>
        <w:kinsoku/>
        <w:wordWrap/>
        <w:overflowPunct/>
        <w:topLinePunct w:val="0"/>
        <w:autoSpaceDE w:val="0"/>
        <w:autoSpaceDN w:val="0"/>
        <w:bidi w:val="0"/>
        <w:adjustRightInd/>
        <w:snapToGrid/>
        <w:spacing w:line="560" w:lineRule="exact"/>
        <w:ind w:firstLine="640" w:firstLineChars="200"/>
        <w:jc w:val="both"/>
        <w:textAlignment w:val="auto"/>
        <w:outlineLvl w:val="1"/>
        <w:rPr>
          <w:rFonts w:hint="default" w:ascii="楷体_GB2312" w:hAnsi="楷体_GB2312" w:eastAsia="楷体_GB2312" w:cs="楷体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（一）国际层面</w:t>
      </w:r>
    </w:p>
    <w:p w14:paraId="3C4AFAE3">
      <w:pPr>
        <w:pStyle w:val="11"/>
        <w:keepNext w:val="0"/>
        <w:keepLines w:val="0"/>
        <w:pageBreakBefore w:val="0"/>
        <w:tabs>
          <w:tab w:val="center" w:pos="4201"/>
          <w:tab w:val="right" w:leader="dot" w:pos="9298"/>
        </w:tabs>
        <w:kinsoku/>
        <w:wordWrap/>
        <w:overflowPunct/>
        <w:topLinePunct w:val="0"/>
        <w:bidi w:val="0"/>
        <w:adjustRightInd/>
        <w:spacing w:line="560" w:lineRule="exact"/>
        <w:ind w:firstLine="48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近年来，各国政府普遍认识到低空物流在推动经济发展、提升物流效率、降低物流成本等方面的重要作用，出台相关政策以支持其发展，这些政策涵盖了从无人机技术研发、生产制造到应用推广的各个环节，为低空物流的发展提供了有力的政策保障。目前，国际上相关标准多聚焦于无人驾驶航空器通用运行、物流运输基础规范，未体现海岛场景的特殊性，尚未形成统一、全面且系统的无人驾驶航空器海岛快件运输服务指南标准。</w:t>
      </w:r>
    </w:p>
    <w:p w14:paraId="15828A82">
      <w:pPr>
        <w:pStyle w:val="11"/>
        <w:keepNext w:val="0"/>
        <w:keepLines w:val="0"/>
        <w:pageBreakBefore w:val="0"/>
        <w:widowControl/>
        <w:tabs>
          <w:tab w:val="center" w:pos="4201"/>
          <w:tab w:val="right" w:leader="dot" w:pos="9298"/>
        </w:tabs>
        <w:kinsoku/>
        <w:wordWrap/>
        <w:overflowPunct/>
        <w:topLinePunct w:val="0"/>
        <w:autoSpaceDE w:val="0"/>
        <w:autoSpaceDN w:val="0"/>
        <w:bidi w:val="0"/>
        <w:adjustRightInd/>
        <w:snapToGrid/>
        <w:spacing w:line="560" w:lineRule="exact"/>
        <w:ind w:firstLine="640" w:firstLineChars="200"/>
        <w:jc w:val="both"/>
        <w:textAlignment w:val="auto"/>
        <w:outlineLvl w:val="1"/>
        <w:rPr>
          <w:rFonts w:hint="eastAsia" w:ascii="楷体_GB2312" w:hAnsi="楷体_GB2312" w:eastAsia="楷体_GB2312" w:cs="楷体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（二）国家层面</w:t>
      </w:r>
    </w:p>
    <w:p w14:paraId="3BADF714">
      <w:pPr>
        <w:pStyle w:val="11"/>
        <w:keepNext w:val="0"/>
        <w:keepLines w:val="0"/>
        <w:pageBreakBefore w:val="0"/>
        <w:tabs>
          <w:tab w:val="center" w:pos="4201"/>
          <w:tab w:val="right" w:leader="dot" w:pos="9298"/>
        </w:tabs>
        <w:kinsoku/>
        <w:wordWrap/>
        <w:overflowPunct/>
        <w:topLinePunct w:val="0"/>
        <w:bidi w:val="0"/>
        <w:adjustRightInd/>
        <w:spacing w:line="560" w:lineRule="exact"/>
        <w:ind w:firstLine="48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中国的低空物流正处于快速发展阶段，在应用层面，政策鼓励物流企业在满足安全要求的前提下，积极探索无人机在物流配送领域的应用，并加强对无人机飞行的监管和管理，确保无人机在合法、安全的范围内进行飞行和配送。我国现行国家标准中，与无人机、快递服务相关的标准以通用术语、基础规范为主，未专项覆盖海岛快件运输场景。本文件《无人驾驶航空器海岛快件运输服务指南》将从快件运输服务的角度出发，基于海岛场景，提供了使用无人驾驶航空器在海岛场景下提供快件运输服务的有关指导和建议，包括服务能力保障、服务提供、服务安全、服务评价与改进的指导和建议。其中服务能力保障提供了运营资质、无人驾驶航空器系统、人员、快件、起降控制场、保险的指导和建议，服务提供给出了运输服务前、运输服务中、运输服务后的建议，服务安全提供了飞行安全、人员安全、快件安全、数据安全、突发应急处置等方面的指导和建议，服务评价与改进给出了内部评价与外部评价、服务改进措施等建议。</w:t>
      </w:r>
    </w:p>
    <w:p w14:paraId="1097D9FB">
      <w:pPr>
        <w:pStyle w:val="11"/>
        <w:keepNext w:val="0"/>
        <w:keepLines w:val="0"/>
        <w:pageBreakBefore w:val="0"/>
        <w:widowControl/>
        <w:tabs>
          <w:tab w:val="center" w:pos="4201"/>
          <w:tab w:val="right" w:leader="dot" w:pos="9298"/>
        </w:tabs>
        <w:kinsoku/>
        <w:wordWrap/>
        <w:overflowPunct/>
        <w:topLinePunct w:val="0"/>
        <w:autoSpaceDE w:val="0"/>
        <w:autoSpaceDN w:val="0"/>
        <w:bidi w:val="0"/>
        <w:adjustRightInd/>
        <w:snapToGrid/>
        <w:spacing w:line="560" w:lineRule="exact"/>
        <w:ind w:firstLine="640" w:firstLineChars="200"/>
        <w:jc w:val="both"/>
        <w:textAlignment w:val="auto"/>
        <w:outlineLvl w:val="1"/>
        <w:rPr>
          <w:rFonts w:hint="eastAsia" w:ascii="楷体_GB2312" w:hAnsi="楷体_GB2312" w:eastAsia="楷体_GB2312" w:cs="楷体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（三）行业层面</w:t>
      </w:r>
    </w:p>
    <w:p w14:paraId="3FDBCE74">
      <w:pPr>
        <w:pStyle w:val="11"/>
        <w:keepNext w:val="0"/>
        <w:keepLines w:val="0"/>
        <w:pageBreakBefore w:val="0"/>
        <w:tabs>
          <w:tab w:val="center" w:pos="4201"/>
          <w:tab w:val="right" w:leader="dot" w:pos="9298"/>
        </w:tabs>
        <w:kinsoku/>
        <w:wordWrap/>
        <w:overflowPunct/>
        <w:topLinePunct w:val="0"/>
        <w:bidi w:val="0"/>
        <w:adjustRightInd/>
        <w:spacing w:line="560" w:lineRule="exact"/>
        <w:ind w:firstLine="480"/>
        <w:jc w:val="both"/>
        <w:textAlignment w:val="auto"/>
        <w:rPr>
          <w:rFonts w:hint="eastAsia" w:ascii="仿宋" w:hAnsi="仿宋" w:eastAsia="仿宋" w:cs="仿宋"/>
          <w:sz w:val="32"/>
          <w:szCs w:val="32"/>
          <w:highlight w:val="none"/>
          <w:lang w:val="en-US" w:eastAsia="zh-CN"/>
        </w:rPr>
      </w:pPr>
      <w:r>
        <w:rPr>
          <w:rFonts w:hint="eastAsia" w:ascii="仿宋_GB2312" w:hAnsi="仿宋_GB2312" w:eastAsia="仿宋_GB2312" w:cs="仿宋_GB2312"/>
          <w:sz w:val="32"/>
          <w:szCs w:val="32"/>
          <w:highlight w:val="none"/>
          <w:lang w:val="en-US" w:eastAsia="zh-CN"/>
        </w:rPr>
        <w:t>国家邮政局在2020年发布《无人机快递投递服务规范》（YZ/T 0172-2020），该标准规定了无人机快递投递服务的服务主体、服务条件、服务流程、服务评价、服务安全和服务赔偿的要求，该标准适用于各场景下无人机快递投递服务的通用要求。中国民用航空局2023年发布《民用无人驾驶航空器系统物流运行通用要求 第1部分：海岛场景》（MH/T 2014-2023），该标准明确使用无人驾驶航空器从事物流运行的运营人、运行程序和手册、所使用的无人驾驶航空器系统、运行环境和起降场地、运行控制、通信保障、导航、无线电要求，从运行角度和技术上规范物流无人驾驶航空器系统的生产和应用，该标准主要从技术层面对海岛场景下的无人驾驶航空器物流进行要求，并不是针对海岛场景下的无人驾驶航空器快件运输服务。</w:t>
      </w:r>
    </w:p>
    <w:p w14:paraId="33775454">
      <w:pPr>
        <w:pStyle w:val="11"/>
        <w:keepNext w:val="0"/>
        <w:keepLines w:val="0"/>
        <w:pageBreakBefore w:val="0"/>
        <w:widowControl/>
        <w:tabs>
          <w:tab w:val="center" w:pos="4201"/>
          <w:tab w:val="right" w:leader="dot" w:pos="9298"/>
        </w:tabs>
        <w:kinsoku/>
        <w:wordWrap/>
        <w:overflowPunct/>
        <w:topLinePunct w:val="0"/>
        <w:autoSpaceDE w:val="0"/>
        <w:autoSpaceDN w:val="0"/>
        <w:bidi w:val="0"/>
        <w:adjustRightInd/>
        <w:snapToGrid/>
        <w:spacing w:line="560" w:lineRule="exact"/>
        <w:ind w:firstLine="640" w:firstLineChars="200"/>
        <w:jc w:val="both"/>
        <w:textAlignment w:val="auto"/>
        <w:outlineLvl w:val="1"/>
        <w:rPr>
          <w:rFonts w:hint="eastAsia" w:ascii="楷体_GB2312" w:hAnsi="楷体_GB2312" w:eastAsia="楷体_GB2312" w:cs="楷体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（四）其他省同类标准</w:t>
      </w:r>
    </w:p>
    <w:p w14:paraId="49FCE5B3">
      <w:pPr>
        <w:pStyle w:val="11"/>
        <w:keepNext w:val="0"/>
        <w:keepLines w:val="0"/>
        <w:pageBreakBefore w:val="0"/>
        <w:tabs>
          <w:tab w:val="center" w:pos="4201"/>
          <w:tab w:val="right" w:leader="dot" w:pos="9298"/>
        </w:tabs>
        <w:kinsoku/>
        <w:wordWrap/>
        <w:overflowPunct/>
        <w:topLinePunct w:val="0"/>
        <w:bidi w:val="0"/>
        <w:adjustRightInd/>
        <w:spacing w:line="560" w:lineRule="exact"/>
        <w:ind w:firstLine="480"/>
        <w:jc w:val="both"/>
        <w:textAlignment w:val="auto"/>
        <w:rPr>
          <w:rFonts w:hint="eastAsia" w:ascii="仿宋" w:hAnsi="仿宋" w:eastAsia="仿宋" w:cs="仿宋"/>
          <w:sz w:val="32"/>
          <w:szCs w:val="32"/>
          <w:highlight w:val="none"/>
          <w:lang w:val="en-US" w:eastAsia="zh-CN"/>
        </w:rPr>
      </w:pPr>
      <w:r>
        <w:rPr>
          <w:rFonts w:hint="eastAsia" w:ascii="仿宋_GB2312" w:hAnsi="仿宋_GB2312" w:eastAsia="仿宋_GB2312" w:cs="仿宋_GB2312"/>
          <w:sz w:val="32"/>
          <w:szCs w:val="32"/>
          <w:highlight w:val="none"/>
          <w:lang w:val="en-US" w:eastAsia="zh-CN"/>
        </w:rPr>
        <w:t>经检索分析，截至本标准草案编制阶段，国内其他省份尚未发布针对无人驾驶航空器海岛快件运输的专项地方标准，仅部分沿海省份（如福建、浙江）发布过无人机通用物流、陆地快递运输相关地方标准。</w:t>
      </w:r>
    </w:p>
    <w:p w14:paraId="31D87FF1">
      <w:pPr>
        <w:keepNext w:val="0"/>
        <w:keepLines w:val="0"/>
        <w:pageBreakBefore w:val="0"/>
        <w:kinsoku/>
        <w:wordWrap/>
        <w:overflowPunct/>
        <w:topLinePunct w:val="0"/>
        <w:bidi w:val="0"/>
        <w:adjustRightInd/>
        <w:spacing w:line="560" w:lineRule="exact"/>
        <w:ind w:firstLine="640" w:firstLineChars="200"/>
        <w:jc w:val="both"/>
        <w:textAlignment w:val="auto"/>
        <w:outlineLvl w:val="0"/>
        <w:rPr>
          <w:rFonts w:hint="eastAsia" w:ascii="黑体" w:hAnsi="黑体" w:eastAsia="黑体" w:cs="黑体"/>
          <w:b w:val="0"/>
          <w:bCs/>
          <w:kern w:val="0"/>
          <w:sz w:val="32"/>
          <w:szCs w:val="32"/>
          <w:highlight w:val="none"/>
          <w:lang w:eastAsia="zh-CN"/>
        </w:rPr>
      </w:pPr>
      <w:r>
        <w:rPr>
          <w:rFonts w:hint="eastAsia" w:ascii="黑体" w:hAnsi="黑体" w:eastAsia="黑体" w:cs="黑体"/>
          <w:b w:val="0"/>
          <w:bCs/>
          <w:kern w:val="0"/>
          <w:sz w:val="32"/>
          <w:szCs w:val="32"/>
          <w:highlight w:val="none"/>
          <w:lang w:eastAsia="zh-CN"/>
        </w:rPr>
        <w:t>十、涉及专利的说明</w:t>
      </w:r>
    </w:p>
    <w:p w14:paraId="7E52D1C4">
      <w:pPr>
        <w:keepNext w:val="0"/>
        <w:keepLines w:val="0"/>
        <w:pageBreakBefore w:val="0"/>
        <w:kinsoku/>
        <w:wordWrap/>
        <w:overflowPunct/>
        <w:topLinePunct w:val="0"/>
        <w:bidi w:val="0"/>
        <w:adjustRightInd/>
        <w:spacing w:line="560" w:lineRule="exact"/>
        <w:ind w:firstLine="640" w:firstLineChars="200"/>
        <w:jc w:val="both"/>
        <w:textAlignment w:val="auto"/>
        <w:rPr>
          <w:rFonts w:hint="eastAsia" w:ascii="仿宋_GB2312" w:hAnsi="仿宋_GB2312" w:eastAsia="仿宋_GB2312" w:cs="仿宋_GB2312"/>
          <w:kern w:val="0"/>
          <w:sz w:val="32"/>
          <w:szCs w:val="32"/>
          <w:highlight w:val="none"/>
          <w:lang w:val="en-US" w:eastAsia="zh-CN" w:bidi="ar-SA"/>
        </w:rPr>
      </w:pPr>
      <w:r>
        <w:rPr>
          <w:rFonts w:hint="eastAsia" w:ascii="仿宋_GB2312" w:hAnsi="仿宋_GB2312" w:eastAsia="仿宋_GB2312" w:cs="仿宋_GB2312"/>
          <w:kern w:val="0"/>
          <w:sz w:val="32"/>
          <w:szCs w:val="32"/>
          <w:highlight w:val="none"/>
          <w:lang w:val="en-US" w:eastAsia="zh-CN" w:bidi="ar-SA"/>
        </w:rPr>
        <w:t>本标准不涉及专利。</w:t>
      </w:r>
    </w:p>
    <w:p w14:paraId="44E10C98">
      <w:pPr>
        <w:keepNext w:val="0"/>
        <w:keepLines w:val="0"/>
        <w:pageBreakBefore w:val="0"/>
        <w:kinsoku/>
        <w:wordWrap/>
        <w:overflowPunct/>
        <w:topLinePunct w:val="0"/>
        <w:bidi w:val="0"/>
        <w:adjustRightInd/>
        <w:spacing w:line="560" w:lineRule="exact"/>
        <w:ind w:firstLine="640" w:firstLineChars="200"/>
        <w:jc w:val="both"/>
        <w:textAlignment w:val="auto"/>
        <w:outlineLvl w:val="0"/>
        <w:rPr>
          <w:rFonts w:hint="eastAsia" w:ascii="黑体" w:hAnsi="黑体" w:eastAsia="黑体" w:cs="黑体"/>
          <w:b w:val="0"/>
          <w:bCs/>
          <w:kern w:val="0"/>
          <w:sz w:val="32"/>
          <w:szCs w:val="32"/>
          <w:highlight w:val="none"/>
          <w:lang w:val="en-US" w:eastAsia="zh-CN"/>
        </w:rPr>
      </w:pPr>
      <w:r>
        <w:rPr>
          <w:rFonts w:hint="eastAsia" w:ascii="黑体" w:hAnsi="黑体" w:eastAsia="黑体" w:cs="黑体"/>
          <w:b w:val="0"/>
          <w:bCs/>
          <w:kern w:val="0"/>
          <w:sz w:val="32"/>
          <w:szCs w:val="32"/>
          <w:highlight w:val="none"/>
          <w:lang w:val="en-US" w:eastAsia="zh-CN"/>
        </w:rPr>
        <w:t>十一、贯彻标准的要求和措施建议</w:t>
      </w:r>
    </w:p>
    <w:p w14:paraId="6404DE6A">
      <w:pPr>
        <w:keepNext w:val="0"/>
        <w:keepLines w:val="0"/>
        <w:pageBreakBefore w:val="0"/>
        <w:kinsoku/>
        <w:wordWrap/>
        <w:overflowPunct/>
        <w:topLinePunct w:val="0"/>
        <w:bidi w:val="0"/>
        <w:adjustRightInd/>
        <w:spacing w:line="560" w:lineRule="exact"/>
        <w:ind w:firstLine="640" w:firstLineChars="200"/>
        <w:jc w:val="both"/>
        <w:textAlignment w:val="auto"/>
        <w:rPr>
          <w:rFonts w:hint="eastAsia" w:ascii="仿宋_GB2312" w:hAnsi="仿宋_GB2312" w:eastAsia="仿宋_GB2312" w:cs="仿宋_GB2312"/>
          <w:kern w:val="0"/>
          <w:sz w:val="32"/>
          <w:szCs w:val="32"/>
          <w:highlight w:val="none"/>
          <w:lang w:val="en-US" w:eastAsia="zh-CN" w:bidi="ar-SA"/>
        </w:rPr>
      </w:pPr>
      <w:r>
        <w:rPr>
          <w:rFonts w:hint="eastAsia" w:ascii="仿宋_GB2312" w:hAnsi="仿宋_GB2312" w:eastAsia="仿宋_GB2312" w:cs="仿宋_GB2312"/>
          <w:kern w:val="0"/>
          <w:sz w:val="32"/>
          <w:szCs w:val="32"/>
          <w:highlight w:val="none"/>
          <w:lang w:val="en-US" w:eastAsia="zh-CN" w:bidi="ar-SA"/>
        </w:rPr>
        <w:t>本标准旨在提供了使用无人驾驶航空器在海岛场景下提供快件运输服务的有关指导和建议，并给出了相关信息，填补了海岛场景下无人机快件运输服务的标准空白。标准发布后，建议行业主管部门、标准化主管部门、标准化技术机构运用培训班、宣贯会、讲座、网站等多种形式，进行宣传、贯彻和实施。</w:t>
      </w:r>
    </w:p>
    <w:p w14:paraId="7893E9D0">
      <w:pPr>
        <w:keepNext w:val="0"/>
        <w:keepLines w:val="0"/>
        <w:pageBreakBefore w:val="0"/>
        <w:kinsoku/>
        <w:wordWrap/>
        <w:overflowPunct/>
        <w:topLinePunct w:val="0"/>
        <w:bidi w:val="0"/>
        <w:adjustRightInd/>
        <w:spacing w:line="560" w:lineRule="exact"/>
        <w:ind w:firstLine="640" w:firstLineChars="200"/>
        <w:jc w:val="both"/>
        <w:textAlignment w:val="auto"/>
        <w:outlineLvl w:val="0"/>
        <w:rPr>
          <w:rFonts w:hint="eastAsia" w:ascii="黑体" w:hAnsi="黑体" w:eastAsia="黑体" w:cs="黑体"/>
          <w:b w:val="0"/>
          <w:bCs/>
          <w:kern w:val="0"/>
          <w:sz w:val="32"/>
          <w:szCs w:val="32"/>
          <w:highlight w:val="none"/>
          <w:lang w:val="en-US" w:eastAsia="zh-CN"/>
        </w:rPr>
      </w:pPr>
      <w:r>
        <w:rPr>
          <w:rFonts w:hint="eastAsia" w:ascii="黑体" w:hAnsi="黑体" w:eastAsia="黑体" w:cs="黑体"/>
          <w:b w:val="0"/>
          <w:bCs/>
          <w:kern w:val="0"/>
          <w:sz w:val="32"/>
          <w:szCs w:val="32"/>
          <w:highlight w:val="none"/>
          <w:lang w:val="en-US" w:eastAsia="zh-CN"/>
        </w:rPr>
        <w:t>十二、其他情况说明</w:t>
      </w:r>
    </w:p>
    <w:p w14:paraId="03F0F84E">
      <w:pPr>
        <w:pStyle w:val="11"/>
        <w:keepNext w:val="0"/>
        <w:keepLines w:val="0"/>
        <w:pageBreakBefore w:val="0"/>
        <w:tabs>
          <w:tab w:val="center" w:pos="4201"/>
          <w:tab w:val="right" w:leader="dot" w:pos="9298"/>
        </w:tabs>
        <w:kinsoku/>
        <w:wordWrap/>
        <w:overflowPunct/>
        <w:topLinePunct w:val="0"/>
        <w:bidi w:val="0"/>
        <w:adjustRightInd/>
        <w:spacing w:line="560" w:lineRule="exact"/>
        <w:ind w:firstLine="48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本标准没有引用或参照国外标准。</w:t>
      </w:r>
    </w:p>
    <w:p w14:paraId="653C4FE2">
      <w:pPr>
        <w:pStyle w:val="11"/>
        <w:keepNext w:val="0"/>
        <w:keepLines w:val="0"/>
        <w:pageBreakBefore w:val="0"/>
        <w:tabs>
          <w:tab w:val="center" w:pos="4201"/>
          <w:tab w:val="right" w:leader="dot" w:pos="9298"/>
        </w:tabs>
        <w:kinsoku/>
        <w:wordWrap/>
        <w:overflowPunct/>
        <w:topLinePunct w:val="0"/>
        <w:bidi w:val="0"/>
        <w:adjustRightInd/>
        <w:spacing w:line="560" w:lineRule="exact"/>
        <w:ind w:firstLine="48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本标准为推荐性标准。</w:t>
      </w:r>
    </w:p>
    <w:p w14:paraId="530C4FCB">
      <w:pPr>
        <w:pStyle w:val="11"/>
        <w:keepNext w:val="0"/>
        <w:keepLines w:val="0"/>
        <w:pageBreakBefore w:val="0"/>
        <w:tabs>
          <w:tab w:val="center" w:pos="4201"/>
          <w:tab w:val="right" w:leader="dot" w:pos="9298"/>
        </w:tabs>
        <w:kinsoku/>
        <w:wordWrap/>
        <w:overflowPunct/>
        <w:topLinePunct w:val="0"/>
        <w:bidi w:val="0"/>
        <w:adjustRightInd/>
        <w:spacing w:line="560" w:lineRule="exact"/>
        <w:ind w:firstLine="48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本标准为第一次编制，没有涉及废止现行有关的标准。</w:t>
      </w:r>
    </w:p>
    <w:p w14:paraId="53F16E18">
      <w:pPr>
        <w:pStyle w:val="11"/>
        <w:tabs>
          <w:tab w:val="center" w:pos="4201"/>
          <w:tab w:val="right" w:leader="dot" w:pos="9298"/>
        </w:tabs>
        <w:spacing w:line="560" w:lineRule="exact"/>
        <w:ind w:firstLine="480"/>
        <w:rPr>
          <w:rFonts w:hint="eastAsia" w:ascii="仿宋_GB2312" w:hAnsi="仿宋_GB2312" w:eastAsia="仿宋_GB2312" w:cs="仿宋_GB2312"/>
          <w:sz w:val="32"/>
          <w:szCs w:val="32"/>
          <w:highlight w:val="none"/>
          <w:lang w:val="en-US" w:eastAsia="zh-CN"/>
        </w:rPr>
      </w:pPr>
    </w:p>
    <w:p w14:paraId="22ADC75E">
      <w:pPr>
        <w:pStyle w:val="11"/>
        <w:tabs>
          <w:tab w:val="center" w:pos="4201"/>
          <w:tab w:val="right" w:leader="dot" w:pos="9298"/>
        </w:tabs>
        <w:spacing w:line="560" w:lineRule="exact"/>
        <w:ind w:firstLine="480"/>
        <w:rPr>
          <w:rFonts w:hint="eastAsia" w:ascii="仿宋_GB2312" w:hAnsi="仿宋_GB2312" w:eastAsia="仿宋_GB2312" w:cs="仿宋_GB2312"/>
          <w:sz w:val="32"/>
          <w:szCs w:val="32"/>
          <w:highlight w:val="none"/>
          <w:lang w:val="en-US" w:eastAsia="zh-CN"/>
        </w:rPr>
      </w:pPr>
    </w:p>
    <w:p w14:paraId="337729AB">
      <w:pPr>
        <w:pStyle w:val="11"/>
        <w:tabs>
          <w:tab w:val="center" w:pos="4201"/>
          <w:tab w:val="right" w:leader="dot" w:pos="9298"/>
        </w:tabs>
        <w:spacing w:line="560" w:lineRule="exact"/>
        <w:ind w:left="0" w:leftChars="0" w:firstLine="0" w:firstLineChars="0"/>
        <w:jc w:val="right"/>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《无人驾驶航空器海岛快件运输服务指南》</w:t>
      </w:r>
    </w:p>
    <w:p w14:paraId="29B9CC3C">
      <w:pPr>
        <w:pStyle w:val="11"/>
        <w:tabs>
          <w:tab w:val="center" w:pos="4201"/>
          <w:tab w:val="right" w:leader="dot" w:pos="9298"/>
        </w:tabs>
        <w:spacing w:line="560" w:lineRule="exact"/>
        <w:ind w:left="0" w:leftChars="0" w:firstLine="0" w:firstLineChars="0"/>
        <w:jc w:val="center"/>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 xml:space="preserve">                     标准编制工作组</w:t>
      </w:r>
    </w:p>
    <w:p w14:paraId="0B35C277">
      <w:pPr>
        <w:pStyle w:val="11"/>
        <w:tabs>
          <w:tab w:val="center" w:pos="4201"/>
          <w:tab w:val="right" w:leader="dot" w:pos="9298"/>
        </w:tabs>
        <w:spacing w:line="560" w:lineRule="exact"/>
        <w:ind w:left="0" w:leftChars="0" w:firstLine="0" w:firstLineChars="0"/>
        <w:jc w:val="center"/>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 xml:space="preserve">                     2025年10月</w:t>
      </w:r>
    </w:p>
    <w:p w14:paraId="32B17B6A">
      <w:pPr>
        <w:rPr>
          <w:highlight w:val="none"/>
        </w:rPr>
      </w:pPr>
    </w:p>
    <w:bookmarkEnd w:id="0"/>
    <w:sectPr>
      <w:footerReference r:id="rId3" w:type="default"/>
      <w:pgSz w:w="11906" w:h="16838"/>
      <w:pgMar w:top="1701" w:right="1531" w:bottom="1134" w:left="1531" w:header="851" w:footer="1134"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3000509000000000000"/>
    <w:charset w:val="86"/>
    <w:family w:val="auto"/>
    <w:pitch w:val="default"/>
    <w:sig w:usb0="00000001" w:usb1="080E0000" w:usb2="00000000" w:usb3="00000000" w:csb0="00040000" w:csb1="00000000"/>
  </w:font>
  <w:font w:name="金山简标宋">
    <w:altName w:val="宋体"/>
    <w:panose1 w:val="00000000000000000000"/>
    <w:charset w:val="86"/>
    <w:family w:val="modern"/>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39C8CB">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A1868E">
                          <w:pPr>
                            <w:pStyle w:val="5"/>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1A1868E">
                    <w:pPr>
                      <w:pStyle w:val="5"/>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CEA2025"/>
    <w:multiLevelType w:val="multilevel"/>
    <w:tmpl w:val="6CEA2025"/>
    <w:lvl w:ilvl="0" w:tentative="0">
      <w:start w:val="1"/>
      <w:numFmt w:val="none"/>
      <w:suff w:val="nothing"/>
      <w:lvlText w:val="%1"/>
      <w:lvlJc w:val="left"/>
      <w:pPr>
        <w:ind w:left="0" w:firstLine="0"/>
      </w:pPr>
      <w:rPr>
        <w:rFonts w:hint="eastAsia"/>
      </w:rPr>
    </w:lvl>
    <w:lvl w:ilvl="1" w:tentative="0">
      <w:start w:val="1"/>
      <w:numFmt w:val="decimal"/>
      <w:pStyle w:val="15"/>
      <w:suff w:val="nothing"/>
      <w:lvlText w:val="%1%2　"/>
      <w:lvlJc w:val="left"/>
      <w:pPr>
        <w:ind w:left="0" w:firstLine="0"/>
      </w:pPr>
      <w:rPr>
        <w:rFonts w:hint="eastAsia" w:ascii="黑体" w:eastAsia="黑体"/>
        <w:b w:val="0"/>
        <w:i w:val="0"/>
        <w:sz w:val="21"/>
      </w:rPr>
    </w:lvl>
    <w:lvl w:ilvl="2" w:tentative="0">
      <w:start w:val="1"/>
      <w:numFmt w:val="decimal"/>
      <w:pStyle w:val="14"/>
      <w:suff w:val="nothing"/>
      <w:lvlText w:val="%1%2.%3　"/>
      <w:lvlJc w:val="left"/>
      <w:pPr>
        <w:ind w:left="71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3" w:tentative="0">
      <w:start w:val="1"/>
      <w:numFmt w:val="decimal"/>
      <w:pStyle w:val="13"/>
      <w:suff w:val="nothing"/>
      <w:lvlText w:val="%1%2.%3.%4　"/>
      <w:lvlJc w:val="left"/>
      <w:pPr>
        <w:ind w:left="0" w:firstLine="0"/>
      </w:pPr>
      <w:rPr>
        <w:rFonts w:hint="eastAsia" w:ascii="黑体" w:eastAsia="黑体"/>
        <w:b w:val="0"/>
        <w:i w:val="0"/>
        <w:sz w:val="21"/>
      </w:rPr>
    </w:lvl>
    <w:lvl w:ilvl="4" w:tentative="0">
      <w:start w:val="1"/>
      <w:numFmt w:val="decimal"/>
      <w:suff w:val="nothing"/>
      <w:lvlText w:val="%1%2.%3.%4.%5　"/>
      <w:lvlJc w:val="left"/>
      <w:pPr>
        <w:ind w:left="0" w:firstLine="0"/>
      </w:pPr>
      <w:rPr>
        <w:rFonts w:hint="eastAsia" w:ascii="黑体" w:eastAsia="黑体"/>
        <w:b w:val="0"/>
        <w:i w:val="0"/>
        <w:sz w:val="21"/>
      </w:rPr>
    </w:lvl>
    <w:lvl w:ilvl="5" w:tentative="0">
      <w:start w:val="1"/>
      <w:numFmt w:val="decimal"/>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70C6545"/>
    <w:rsid w:val="00A42231"/>
    <w:rsid w:val="00D86331"/>
    <w:rsid w:val="01F27748"/>
    <w:rsid w:val="03794412"/>
    <w:rsid w:val="03C344D1"/>
    <w:rsid w:val="050E411D"/>
    <w:rsid w:val="056903BC"/>
    <w:rsid w:val="05C220DB"/>
    <w:rsid w:val="05FD2B10"/>
    <w:rsid w:val="06141C07"/>
    <w:rsid w:val="06450013"/>
    <w:rsid w:val="08247E82"/>
    <w:rsid w:val="08596526"/>
    <w:rsid w:val="09076D68"/>
    <w:rsid w:val="09CE0801"/>
    <w:rsid w:val="09D26061"/>
    <w:rsid w:val="09FB568B"/>
    <w:rsid w:val="0A352409"/>
    <w:rsid w:val="0A855AFE"/>
    <w:rsid w:val="0D15240A"/>
    <w:rsid w:val="0E155E70"/>
    <w:rsid w:val="0E7A3C4B"/>
    <w:rsid w:val="0EE35E87"/>
    <w:rsid w:val="0F977FCF"/>
    <w:rsid w:val="10437AB6"/>
    <w:rsid w:val="10BB784F"/>
    <w:rsid w:val="10D365B1"/>
    <w:rsid w:val="117D67C0"/>
    <w:rsid w:val="11F72B09"/>
    <w:rsid w:val="1435387E"/>
    <w:rsid w:val="154F35C2"/>
    <w:rsid w:val="15CE592F"/>
    <w:rsid w:val="161A6585"/>
    <w:rsid w:val="16E57DB4"/>
    <w:rsid w:val="170A534A"/>
    <w:rsid w:val="174923C9"/>
    <w:rsid w:val="17F924B3"/>
    <w:rsid w:val="1A4679FD"/>
    <w:rsid w:val="1A6549A2"/>
    <w:rsid w:val="1B1E53EC"/>
    <w:rsid w:val="1B226C8B"/>
    <w:rsid w:val="1BFD4618"/>
    <w:rsid w:val="1C08257A"/>
    <w:rsid w:val="1C6E10FF"/>
    <w:rsid w:val="1DD41F50"/>
    <w:rsid w:val="1DF16B20"/>
    <w:rsid w:val="1E5903C3"/>
    <w:rsid w:val="1F314171"/>
    <w:rsid w:val="20B80136"/>
    <w:rsid w:val="21C43D13"/>
    <w:rsid w:val="22AF4D3A"/>
    <w:rsid w:val="233D692C"/>
    <w:rsid w:val="23841D23"/>
    <w:rsid w:val="2524184E"/>
    <w:rsid w:val="259F485A"/>
    <w:rsid w:val="25F17A41"/>
    <w:rsid w:val="268F5A14"/>
    <w:rsid w:val="270C6545"/>
    <w:rsid w:val="27620EEE"/>
    <w:rsid w:val="27CB3CE5"/>
    <w:rsid w:val="28247FAD"/>
    <w:rsid w:val="28DD7EBE"/>
    <w:rsid w:val="29DE589B"/>
    <w:rsid w:val="29F00F38"/>
    <w:rsid w:val="2ACA4E23"/>
    <w:rsid w:val="2BA60F05"/>
    <w:rsid w:val="2BE2131F"/>
    <w:rsid w:val="2C3A585A"/>
    <w:rsid w:val="2C597B21"/>
    <w:rsid w:val="2CE779E9"/>
    <w:rsid w:val="2D3333D8"/>
    <w:rsid w:val="2EFB28BB"/>
    <w:rsid w:val="2F5F69A4"/>
    <w:rsid w:val="2FEF1FB6"/>
    <w:rsid w:val="3011060A"/>
    <w:rsid w:val="308B0DF9"/>
    <w:rsid w:val="30964BCF"/>
    <w:rsid w:val="31743D1B"/>
    <w:rsid w:val="31AF2660"/>
    <w:rsid w:val="32103750"/>
    <w:rsid w:val="336E6225"/>
    <w:rsid w:val="33FF08FF"/>
    <w:rsid w:val="3467447F"/>
    <w:rsid w:val="349D17BF"/>
    <w:rsid w:val="35135D6B"/>
    <w:rsid w:val="368E2D4F"/>
    <w:rsid w:val="36D30B9F"/>
    <w:rsid w:val="36DD42E7"/>
    <w:rsid w:val="36E12D14"/>
    <w:rsid w:val="37B134B9"/>
    <w:rsid w:val="37D10C3C"/>
    <w:rsid w:val="38AF1198"/>
    <w:rsid w:val="38CD6618"/>
    <w:rsid w:val="38D8472D"/>
    <w:rsid w:val="39B07817"/>
    <w:rsid w:val="3A092B2A"/>
    <w:rsid w:val="3A7F5E7F"/>
    <w:rsid w:val="3AD27712"/>
    <w:rsid w:val="3C454CB2"/>
    <w:rsid w:val="3C6F136A"/>
    <w:rsid w:val="3CB76450"/>
    <w:rsid w:val="3D666A96"/>
    <w:rsid w:val="3E6A67A5"/>
    <w:rsid w:val="3E8A5857"/>
    <w:rsid w:val="3EC15C2B"/>
    <w:rsid w:val="3FFF45F6"/>
    <w:rsid w:val="406A48F0"/>
    <w:rsid w:val="41B3007C"/>
    <w:rsid w:val="42072EE9"/>
    <w:rsid w:val="42B14FD7"/>
    <w:rsid w:val="4303030D"/>
    <w:rsid w:val="43EE0F7F"/>
    <w:rsid w:val="43F86227"/>
    <w:rsid w:val="460122A5"/>
    <w:rsid w:val="46C25ACD"/>
    <w:rsid w:val="483A1A6C"/>
    <w:rsid w:val="48E16144"/>
    <w:rsid w:val="49AD4EE6"/>
    <w:rsid w:val="4AD4683C"/>
    <w:rsid w:val="4BC25E47"/>
    <w:rsid w:val="4BE1311C"/>
    <w:rsid w:val="4BE2660C"/>
    <w:rsid w:val="4C8B2D47"/>
    <w:rsid w:val="51581F75"/>
    <w:rsid w:val="52E32DFB"/>
    <w:rsid w:val="538434F5"/>
    <w:rsid w:val="53AB2871"/>
    <w:rsid w:val="54095F8F"/>
    <w:rsid w:val="542549B1"/>
    <w:rsid w:val="54280B64"/>
    <w:rsid w:val="551A69B3"/>
    <w:rsid w:val="55EB2A6E"/>
    <w:rsid w:val="563321A4"/>
    <w:rsid w:val="57553281"/>
    <w:rsid w:val="57B143B8"/>
    <w:rsid w:val="57F329F7"/>
    <w:rsid w:val="58226E39"/>
    <w:rsid w:val="588B4158"/>
    <w:rsid w:val="58E40CFE"/>
    <w:rsid w:val="59B05A4F"/>
    <w:rsid w:val="59B952BF"/>
    <w:rsid w:val="5A623E64"/>
    <w:rsid w:val="5A932270"/>
    <w:rsid w:val="5AF00ACF"/>
    <w:rsid w:val="5B022F52"/>
    <w:rsid w:val="5B4205FD"/>
    <w:rsid w:val="5B745BFD"/>
    <w:rsid w:val="5B767BC7"/>
    <w:rsid w:val="5C1842B3"/>
    <w:rsid w:val="5C4B431C"/>
    <w:rsid w:val="5C5701B0"/>
    <w:rsid w:val="5D414205"/>
    <w:rsid w:val="5D7A4315"/>
    <w:rsid w:val="5DF874CC"/>
    <w:rsid w:val="600A0831"/>
    <w:rsid w:val="6025501E"/>
    <w:rsid w:val="60E7004C"/>
    <w:rsid w:val="623B3779"/>
    <w:rsid w:val="64FE413D"/>
    <w:rsid w:val="6500148B"/>
    <w:rsid w:val="6698758B"/>
    <w:rsid w:val="66BF6B1A"/>
    <w:rsid w:val="67C04262"/>
    <w:rsid w:val="67FB33F7"/>
    <w:rsid w:val="69244237"/>
    <w:rsid w:val="69390486"/>
    <w:rsid w:val="69547CAD"/>
    <w:rsid w:val="6B7FB2DC"/>
    <w:rsid w:val="6C137923"/>
    <w:rsid w:val="6C7E0384"/>
    <w:rsid w:val="6CAD5413"/>
    <w:rsid w:val="6CE9518F"/>
    <w:rsid w:val="6D7E3C88"/>
    <w:rsid w:val="6E5B49FB"/>
    <w:rsid w:val="6E6E2980"/>
    <w:rsid w:val="6EBB4442"/>
    <w:rsid w:val="6F8D2902"/>
    <w:rsid w:val="70124C1C"/>
    <w:rsid w:val="72220F73"/>
    <w:rsid w:val="731D0DE4"/>
    <w:rsid w:val="74F10DEF"/>
    <w:rsid w:val="75156F04"/>
    <w:rsid w:val="754737CF"/>
    <w:rsid w:val="759578A1"/>
    <w:rsid w:val="782A2AD2"/>
    <w:rsid w:val="7914420C"/>
    <w:rsid w:val="79BD654B"/>
    <w:rsid w:val="79E65AC0"/>
    <w:rsid w:val="7A7430CC"/>
    <w:rsid w:val="7B015B51"/>
    <w:rsid w:val="7E1A21DD"/>
    <w:rsid w:val="7E5B2AC6"/>
    <w:rsid w:val="7E7F86EB"/>
    <w:rsid w:val="7E9E4BBC"/>
    <w:rsid w:val="7EA67F14"/>
    <w:rsid w:val="7ECB34D7"/>
    <w:rsid w:val="7EDBAC95"/>
    <w:rsid w:val="7F556235"/>
    <w:rsid w:val="7FF67685"/>
    <w:rsid w:val="E45B3C07"/>
    <w:rsid w:val="F7FFCB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annotation text"/>
    <w:basedOn w:val="1"/>
    <w:semiHidden/>
    <w:unhideWhenUsed/>
    <w:qFormat/>
    <w:uiPriority w:val="99"/>
    <w:pPr>
      <w:jc w:val="left"/>
    </w:pPr>
  </w:style>
  <w:style w:type="paragraph" w:styleId="3">
    <w:name w:val="Body Text"/>
    <w:basedOn w:val="1"/>
    <w:semiHidden/>
    <w:unhideWhenUsed/>
    <w:qFormat/>
    <w:uiPriority w:val="0"/>
    <w:pPr>
      <w:spacing w:after="120"/>
    </w:pPr>
    <w:rPr>
      <w:rFonts w:ascii="Times New Roman" w:hAnsi="Times New Roman"/>
      <w:szCs w:val="20"/>
    </w:rPr>
  </w:style>
  <w:style w:type="paragraph" w:styleId="4">
    <w:name w:val="Plain Text"/>
    <w:basedOn w:val="1"/>
    <w:qFormat/>
    <w:uiPriority w:val="99"/>
    <w:rPr>
      <w:rFonts w:ascii="宋体" w:hAnsi="Courier New"/>
      <w:sz w:val="30"/>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toc 2"/>
    <w:basedOn w:val="1"/>
    <w:next w:val="1"/>
    <w:qFormat/>
    <w:uiPriority w:val="39"/>
    <w:rPr>
      <w:rFonts w:hAnsi="宋体"/>
      <w:color w:val="0000FF"/>
      <w:szCs w:val="21"/>
    </w:rPr>
  </w:style>
  <w:style w:type="character" w:styleId="10">
    <w:name w:val="Strong"/>
    <w:basedOn w:val="9"/>
    <w:qFormat/>
    <w:uiPriority w:val="0"/>
    <w:rPr>
      <w:b/>
    </w:rPr>
  </w:style>
  <w:style w:type="paragraph" w:customStyle="1" w:styleId="11">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12">
    <w:name w:val="标准文件_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13">
    <w:name w:val="标准文件_二级条标题"/>
    <w:next w:val="12"/>
    <w:qFormat/>
    <w:uiPriority w:val="0"/>
    <w:pPr>
      <w:widowControl w:val="0"/>
      <w:numPr>
        <w:ilvl w:val="3"/>
        <w:numId w:val="1"/>
      </w:numPr>
      <w:spacing w:before="50" w:beforeLines="50" w:after="50" w:afterLines="50"/>
      <w:jc w:val="both"/>
      <w:outlineLvl w:val="2"/>
    </w:pPr>
    <w:rPr>
      <w:rFonts w:ascii="黑体" w:hAnsi="Times New Roman" w:eastAsia="黑体" w:cs="Times New Roman"/>
      <w:sz w:val="21"/>
      <w:lang w:val="en-US" w:eastAsia="zh-CN" w:bidi="ar-SA"/>
    </w:rPr>
  </w:style>
  <w:style w:type="paragraph" w:customStyle="1" w:styleId="14">
    <w:name w:val="标准文件_一级条标题"/>
    <w:basedOn w:val="15"/>
    <w:next w:val="12"/>
    <w:qFormat/>
    <w:uiPriority w:val="0"/>
    <w:pPr>
      <w:numPr>
        <w:ilvl w:val="2"/>
      </w:numPr>
      <w:spacing w:before="50" w:beforeLines="50" w:after="50" w:afterLines="50"/>
      <w:ind w:left="0"/>
      <w:outlineLvl w:val="1"/>
    </w:pPr>
  </w:style>
  <w:style w:type="paragraph" w:customStyle="1" w:styleId="15">
    <w:name w:val="标准文件_章标题"/>
    <w:next w:val="12"/>
    <w:qFormat/>
    <w:uiPriority w:val="0"/>
    <w:pPr>
      <w:numPr>
        <w:ilvl w:val="1"/>
        <w:numId w:val="1"/>
      </w:numPr>
      <w:spacing w:before="100" w:beforeLines="100" w:after="100" w:afterLines="100"/>
      <w:jc w:val="both"/>
      <w:outlineLvl w:val="0"/>
    </w:pPr>
    <w:rPr>
      <w:rFonts w:ascii="黑体" w:hAnsi="Times New Roman" w:eastAsia="黑体" w:cs="Times New Roman"/>
      <w:sz w:val="21"/>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7799</Words>
  <Characters>8036</Characters>
  <Lines>0</Lines>
  <Paragraphs>0</Paragraphs>
  <TotalTime>14</TotalTime>
  <ScaleCrop>false</ScaleCrop>
  <LinksUpToDate>false</LinksUpToDate>
  <CharactersWithSpaces>8109</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2025-08-14T13:03:00Z</dcterms:created>
  <dc:creator>珠海标准与编码</dc:creator>
  <cp:lastModifiedBy>珠海标准与编码</cp:lastModifiedBy>
  <cp:lastPrinted>2025-10-22T03:09:00Z</cp:lastPrinted>
  <dcterms:modified xsi:type="dcterms:W3CDTF">2025-11-03T08:24:21Z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BD816A4AB70295AD4E35B96899F3C6CD</vt:lpwstr>
  </property>
  <property fmtid="{D5CDD505-2E9C-101B-9397-08002B2CF9AE}" pid="4" name="KSOTemplateDocerSaveRecord">
    <vt:lpwstr>eyJoZGlkIjoiOTI2NzM2NDFmOWYxN2RjNTY3Y2M2OGQ3NzczOTg5MGEiLCJ1c2VySWQiOiIzNTYxNDk4NDAifQ==</vt:lpwstr>
  </property>
</Properties>
</file>