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21974">
      <w:pPr>
        <w:spacing w:line="560" w:lineRule="exact"/>
        <w:jc w:val="center"/>
        <w:rPr>
          <w:rFonts w:hint="eastAsia" w:ascii="方正小标宋简体" w:hAnsi="方正小标宋简体" w:eastAsia="方正小标宋简体" w:cs="方正小标宋简体"/>
          <w:b w:val="0"/>
          <w:bCs/>
          <w:sz w:val="44"/>
          <w:szCs w:val="44"/>
          <w:highlight w:val="none"/>
          <w:lang w:val="en-US" w:eastAsia="zh-CN"/>
        </w:rPr>
      </w:pPr>
      <w:r>
        <w:rPr>
          <w:rFonts w:hint="eastAsia" w:ascii="方正小标宋简体" w:hAnsi="方正小标宋简体" w:eastAsia="方正小标宋简体" w:cs="方正小标宋简体"/>
          <w:b w:val="0"/>
          <w:bCs/>
          <w:sz w:val="44"/>
          <w:szCs w:val="44"/>
          <w:highlight w:val="none"/>
          <w:lang w:val="en-US" w:eastAsia="zh-CN"/>
        </w:rPr>
        <w:t>广东省地方标准</w:t>
      </w:r>
      <w:bookmarkStart w:id="0" w:name="_GoBack"/>
      <w:bookmarkEnd w:id="0"/>
      <w:r>
        <w:rPr>
          <w:rFonts w:hint="eastAsia" w:ascii="方正小标宋简体" w:hAnsi="方正小标宋简体" w:eastAsia="方正小标宋简体" w:cs="方正小标宋简体"/>
          <w:b w:val="0"/>
          <w:bCs/>
          <w:sz w:val="44"/>
          <w:szCs w:val="44"/>
          <w:highlight w:val="none"/>
          <w:lang w:val="en-US" w:eastAsia="zh-CN"/>
        </w:rPr>
        <w:t>《无人驾驶航空器海岛快件运输服务指南（送审稿）》编制说明</w:t>
      </w:r>
    </w:p>
    <w:p w14:paraId="28E3FF79">
      <w:pPr>
        <w:jc w:val="center"/>
        <w:rPr>
          <w:rFonts w:ascii="宋体" w:hAnsi="金山简标宋"/>
          <w:b/>
          <w:color w:val="auto"/>
          <w:sz w:val="32"/>
          <w:szCs w:val="32"/>
          <w:highlight w:val="none"/>
        </w:rPr>
      </w:pPr>
    </w:p>
    <w:p w14:paraId="69F49AEC">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一、任务来源</w:t>
      </w:r>
    </w:p>
    <w:p w14:paraId="0A3C71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广东省地方标准《无人驾驶航空器海岛快件运输服务指南》是根据《广东省市场监督管理局关于批准下达&lt;无人驾驶航空器海岛快件运输服务指南&gt;等3项低空经济领域地方标准制定计划的通知》（粤市监标准〔2025〕236号）要求进行编制的。该标准由珠海市邮政管理局提出，广东省邮政管理局作为归口省级行政主管部门，由广东省低空经济标准化技术委员会（GD/TC 152）作为归口标准化技术管理委员会，由珠海市邮政管理局担任主导单位并与珠海万山海洋开发试验区管理委员会、广东省珠海市质量技术监督标准与编码所、广东省检验检测认证研究院集团有限公司等17家单位共同起草。</w:t>
      </w:r>
    </w:p>
    <w:p w14:paraId="41A7600A">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二、立项的必要性</w:t>
      </w:r>
    </w:p>
    <w:p w14:paraId="4273DB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（一）低空经济是我国经济增长的新引擎</w:t>
      </w:r>
    </w:p>
    <w:p w14:paraId="3CAD5B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国家战略布局：2010年发布的《关于深化我国低空空域管理改革的意见》界定，“低空空域”是指垂直范围原则为真高1000米以下，可根据不同地区特点和实际需要，具体划设高度范围。2019年，国务院《交通强国建设纲要》提出发展智能物流，无人机配送被列为重点领域。2021年，《国家综合立体交通网规划纲要》把发展低空经济纳入“推进综合交通统筹融合发展”的范畴。2024年被称为低空经济元年，全国两会将“低空经济”首次写入政府工作报告，标志着其正式上升为国家战略层面的重点发展方向。国家工业和信息化部等四部门联合发文指出，到2030年，通用航空装备全面融入人民生产生活各领域，成为低空经济增长的强大推动力，形成万亿级市场规模。</w:t>
      </w:r>
    </w:p>
    <w:p w14:paraId="6C4F30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地方实践转化：2024年，《广东省推动低空经济高质量发展行动方案（2024-2026年）》明确低空经济为“新质生产力”重要载体，提出到 2026 年产业规模突破3000亿元，形成“广州—深圳—珠海”三核联动格局。2025年，《广东省现代化产业体系发展报告（2023-2024）》将低空经济纳入“20个战略性产业集群”，提出“推动eVTOL、无人机等装备研发制造，建设珠海‘天空之城’、深圳低空经济示范区”。</w:t>
      </w:r>
    </w:p>
    <w:p w14:paraId="1CE3599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从国家顶层设计到地方推动部署，低空经济正成为推动经济高质量发展的新引擎。广东作为经济大省，紧跟国家到地方的战略部署，以专项行动方案明确工作目标及发展布局，为推动全省低空经济发展注入强劲动力。</w:t>
      </w:r>
    </w:p>
    <w:p w14:paraId="1CF26D6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（二）海岛场景低空物流是低空经济的先发领域</w:t>
      </w:r>
    </w:p>
    <w:p w14:paraId="7D0EA5A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2024年2月23日召开的中央财经委员会第四次会议强调，降低</w:t>
      </w:r>
      <w:r>
        <w:rPr>
          <w:rFonts w:hint="eastAsia" w:ascii="仿宋_GB2312" w:hAnsi="仿宋_GB2312" w:eastAsia="仿宋_GB2312" w:cs="仿宋_GB2312"/>
          <w:color w:val="auto"/>
          <w:kern w:val="2"/>
          <w:sz w:val="32"/>
          <w:szCs w:val="32"/>
          <w:highlight w:val="none"/>
          <w:lang w:val="en-US" w:eastAsia="zh-CN" w:bidi="ar-SA"/>
        </w:rPr>
        <w:t>全社会物流成本是提高经济运行效率的重要举措。该会议首次在降低社会物流成本路径中提到鼓励与低空经济结合，有利于进一步完善相关支撑政策，助力低空经济发展，低空物流等新模式具有广阔的应用空间。《广东省推动低空经济高质量发展行动方案（2024-2026年）》提出积极拓展低空应用场景，推动低空物流配送应用在城市、乡村、山区、海岛等规模化落地。为加强对低空经济高质量发展工作的统筹协调，2024年6月，广东省政府成立了“低空经济高质量发展工作专班”，省邮政管理局作为工作专班成员，负责培育、推动快递配送方面的快递配送方面的低空飞行应用。截至2024年7月，广东快递行业企业已建成7个无人机运营基地，配备153架无人机，覆盖深圳、珠海等5市，日均运输快件1.7万件。</w:t>
      </w:r>
    </w:p>
    <w:p w14:paraId="457BA0A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广东海岛众多，分布零散，传统物流受地理条件限制，运输效率低、成本高，海岛场景正成为发展低空物流的关键探路者。广东省拥有大疆、亿航等全球头部无人机企业，2024年，全国首条海岛公共物流无人机配送航线（37公里航程仅25分钟，效率提升80%）在珠海万山海洋经济试验区首飞成功，目前日均飞行800架次。2024年10月30日，“桂山岛—东澳岛”“桂山岛—外伶仃岛”两条低空物流航线正式开通。广东省无人机物流已在医疗物资、生鲜冷链、跨海配送等领域落地，如珠海桂山岛实现党报党刊、海产空运常态化。</w:t>
      </w:r>
    </w:p>
    <w:p w14:paraId="5CFEF52C">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仿宋" w:hAnsi="仿宋" w:eastAsia="仿宋" w:cs="仿宋"/>
          <w:color w:val="auto"/>
          <w:kern w:val="2"/>
          <w:sz w:val="32"/>
          <w:szCs w:val="32"/>
          <w:highlight w:val="none"/>
          <w:lang w:val="en-US" w:eastAsia="zh-CN" w:bidi="ar-SA"/>
        </w:rPr>
      </w:pPr>
      <w:r>
        <w:rPr>
          <w:rFonts w:hint="eastAsia" w:ascii="楷体_GB2312" w:hAnsi="楷体_GB2312" w:eastAsia="楷体_GB2312" w:cs="楷体_GB2312"/>
          <w:sz w:val="32"/>
          <w:szCs w:val="32"/>
          <w:highlight w:val="none"/>
          <w:lang w:val="en-US" w:eastAsia="zh-CN"/>
        </w:rPr>
        <w:t>（三）标准是发展低空物流场景应用的有力助推器</w:t>
      </w:r>
    </w:p>
    <w:p w14:paraId="295E54D9">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标准与低空海岛快件运输服务存在着紧密且不可或缺的联系，在其发展进程中扮演着极为关键的角色。采用“无人机 物流”“无人机 货运”“无人机 快递”“海岛 物流”等作为关键词在“全国标准信息公共服务平台”进行检索，暂无相关的广东省地方标准。本标准将从快件运输服务的角度出发，基于海岛场景，提供了使用无人驾驶航空器在海岛场景下提供快件运输服务的有关指导和建议，并给出了相关信息，填补了海岛场景下无人机快件运输服务的标准空白。</w:t>
      </w:r>
    </w:p>
    <w:p w14:paraId="559D523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于安全维度而言，标准给出在海岛场景下提供快件运输服务的无人驾驶航空器系统、飞行过程、快件安全、数据安全等方面的指引。例如，建议飞行器具备更为强大的抗海风及抵御恶劣天气的能力，快件包装宜防水防腐蚀，以此确保在复杂的海岛环境下进行快件运输作业时的安全性，有效保障快件运输过程安全。</w:t>
      </w:r>
    </w:p>
    <w:p w14:paraId="5BF7923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从服务质量层面出发，标准在快件的运输时效以及货物损坏赔偿等方面给出指引。建议明确在特定时间范围内完成海岛快件的配送工作，以保障服务的及时性；同时，对快件丢失、损坏情形下的赔偿提出标准建议，从而切实维护寄件人与收件人的合法权益，全方位提升整体服务水平。</w:t>
      </w:r>
    </w:p>
    <w:p w14:paraId="457B4D2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 w:hAnsi="仿宋" w:eastAsia="仿宋" w:cs="仿宋"/>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就产业协同视角而言，标准引导低空海岛快件运输与海岛电商、旅游业等实现更为深度的融合。通过在货物包装、信息对接等方面提出指引，推动海岛特产等快件能够迅速融入电商销售体系，进而为海岛经济的发展提供有力助推，并为全国其他海岛物流运营示范场景的建设与应用提供“广东标准”。</w:t>
      </w:r>
    </w:p>
    <w:p w14:paraId="075D1B80">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三、标准编制原则</w:t>
      </w:r>
    </w:p>
    <w:p w14:paraId="7220A4F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（一）规范性原则</w:t>
      </w:r>
    </w:p>
    <w:p w14:paraId="7F0302F1">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本标准遵从相关法律法规、规章制度及标准要求：</w:t>
      </w:r>
    </w:p>
    <w:p w14:paraId="172FD48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《中华人民共和国标准化法》</w:t>
      </w:r>
      <w:r>
        <w:rPr>
          <w:rFonts w:hint="eastAsia" w:ascii="仿宋_GB2312" w:hAnsi="仿宋_GB2312" w:eastAsia="仿宋_GB2312" w:cs="仿宋_GB2312"/>
          <w:sz w:val="32"/>
          <w:szCs w:val="32"/>
          <w:highlight w:val="none"/>
          <w:lang w:eastAsia="zh-CN"/>
        </w:rPr>
        <w:t>；</w:t>
      </w:r>
    </w:p>
    <w:p w14:paraId="62546DB4">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《广东省标准化条例》</w:t>
      </w:r>
      <w:r>
        <w:rPr>
          <w:rFonts w:hint="eastAsia" w:ascii="仿宋_GB2312" w:hAnsi="仿宋_GB2312" w:eastAsia="仿宋_GB2312" w:cs="仿宋_GB2312"/>
          <w:sz w:val="32"/>
          <w:szCs w:val="32"/>
          <w:highlight w:val="none"/>
          <w:lang w:eastAsia="zh-CN"/>
        </w:rPr>
        <w:t>；</w:t>
      </w:r>
    </w:p>
    <w:p w14:paraId="370DD259">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——《中华人民共和国民用航空法》；</w:t>
      </w:r>
    </w:p>
    <w:p w14:paraId="56B4068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——《无人驾驶航空器飞行管理暂行条例》；</w:t>
      </w:r>
    </w:p>
    <w:p w14:paraId="640BD8DF">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——《民用轻小型无人驾驶航空器物流配送试运行审定指南》；</w:t>
      </w:r>
    </w:p>
    <w:p w14:paraId="74B85EB0">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——《“十四五”民用航空发展规划》；</w:t>
      </w:r>
    </w:p>
    <w:p w14:paraId="36C547E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——《广东省推动低空经济高质量发展行动方案（2024-2026年）》；</w:t>
      </w:r>
    </w:p>
    <w:p w14:paraId="10EF3E16">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GB/T 1.1-2020《标准化工作导则 第1部分：标准化文件的结构和起草规则》</w:t>
      </w:r>
      <w:r>
        <w:rPr>
          <w:rFonts w:hint="eastAsia" w:ascii="仿宋_GB2312" w:hAnsi="仿宋_GB2312" w:eastAsia="仿宋_GB2312" w:cs="仿宋_GB2312"/>
          <w:sz w:val="32"/>
          <w:szCs w:val="32"/>
          <w:highlight w:val="none"/>
          <w:lang w:eastAsia="zh-CN"/>
        </w:rPr>
        <w:t>。</w:t>
      </w:r>
    </w:p>
    <w:p w14:paraId="0DA32C81">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（二）科学性原则</w:t>
      </w:r>
    </w:p>
    <w:p w14:paraId="2531121D">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充分结合海岛场景的技术特性与客观规律，以科学数据与专业需求为支撑构建内容体系。在技术要求上，明确跨海飞行“飞行期间抗风能力不低于6级、起降阶段不低于4级”，该参数基于海岛高频强风天气的实际观测数据制定；在安全管理上，建立“飞行-人员-快件-数据”四维安全保障体系，引入无人机自动管控、数据加密传输等技术手段，同时要求制定针对强风、暴雨、通信中断等风险的应急处置预案并定期演练，通过科学的风险预判与防控机制，平衡服务效率与安全稳定性，确保标准内容的技术科学性与实践合理性。</w:t>
      </w:r>
    </w:p>
    <w:p w14:paraId="286E31E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（三）协调性原则</w:t>
      </w:r>
    </w:p>
    <w:p w14:paraId="49248BEF">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本标准的协调性是指符合国家政策，贯彻国家法律法规，与现有标准和行业发展现状协调一致，保障标准在整个标准体系中的协调性与互补性，做到衔接配套、适度超前。</w:t>
      </w:r>
    </w:p>
    <w:p w14:paraId="2B955462">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（四）适用性原则</w:t>
      </w:r>
    </w:p>
    <w:p w14:paraId="21A9EDF9">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紧密围绕广东省海岛快件运输的实际需求，突出地方适配性与场景实用性。在地理适配方面，要求起降控制场综合考虑海岛地质条件、空域限制、生态环境，优先布局于通讯信号稳定区域，远离民航航线禁飞区，完全贴合广东多岛礁、海岸线长的地理特征；在气候应对方面，针对广东台风、强降雨频发的特点，专门制定极端天气下的备降方案与货物滞留处理流程；在运营模式上，允许快递服务主体独立运营或与无人机运营主体合作运营，适配广东无人机产业与快递行业协同发展的实际情况，确保标准能够直接指导本地企业开展海岛快件运输服务，解决实际运营中的痛点问题。</w:t>
      </w:r>
    </w:p>
    <w:p w14:paraId="39FC2DAF">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四、标准主要内容</w:t>
      </w:r>
    </w:p>
    <w:p w14:paraId="0009989C">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本标准共</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章，结构如下：</w:t>
      </w:r>
    </w:p>
    <w:p w14:paraId="4E6B1644">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（一）范围</w:t>
      </w:r>
    </w:p>
    <w:p w14:paraId="27611D0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提供了应用于海岛场景利用无人驾驶航空器从事快件运输服务的指导和建议，包括服务能力保障、服务提供、服务安全、服务评价与改进。</w:t>
      </w:r>
    </w:p>
    <w:p w14:paraId="5790157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（二）规范性引用文件</w:t>
      </w:r>
    </w:p>
    <w:p w14:paraId="1DFB15D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GB/T 27917.1—2023  快递服务 第1部分：基本术语</w:t>
      </w:r>
    </w:p>
    <w:p w14:paraId="263C6ABB">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GB/T 38152—2019  无人驾驶航空器系统术语</w:t>
      </w:r>
    </w:p>
    <w:p w14:paraId="169C6D5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MH/T 2014—2023  民用无人驾驶航空器系统物流运行通用要求 第1部分：海岛场景</w:t>
      </w:r>
    </w:p>
    <w:p w14:paraId="175924D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YZ/T 0172—2020  无人机快递投递服务规范</w:t>
      </w:r>
    </w:p>
    <w:p w14:paraId="5985115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（三）术语和定义</w:t>
      </w:r>
    </w:p>
    <w:p w14:paraId="35A236E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明确</w:t>
      </w:r>
      <w:r>
        <w:rPr>
          <w:rFonts w:hint="eastAsia" w:ascii="仿宋_GB2312" w:hAnsi="仿宋_GB2312" w:eastAsia="仿宋_GB2312" w:cs="仿宋_GB2312"/>
          <w:color w:val="auto"/>
          <w:sz w:val="32"/>
          <w:szCs w:val="32"/>
          <w:highlight w:val="none"/>
          <w:lang w:val="en-US" w:eastAsia="zh-CN"/>
        </w:rPr>
        <w:t>快递无人机运营主体、快递服务主体、快件、无人驾驶航空器定义</w:t>
      </w:r>
      <w:r>
        <w:rPr>
          <w:rFonts w:hint="eastAsia" w:ascii="仿宋_GB2312" w:hAnsi="仿宋_GB2312" w:eastAsia="仿宋_GB2312" w:cs="仿宋_GB2312"/>
          <w:color w:val="auto"/>
          <w:sz w:val="32"/>
          <w:szCs w:val="32"/>
          <w:highlight w:val="none"/>
        </w:rPr>
        <w:t>。</w:t>
      </w:r>
    </w:p>
    <w:p w14:paraId="7F5E11B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（四）服务能力保障</w:t>
      </w:r>
    </w:p>
    <w:p w14:paraId="403BC0A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提供了运营资质、无人机驾驶航空器系统、人员、快件、起降控制场、保险的指导和建议</w:t>
      </w:r>
      <w:r>
        <w:rPr>
          <w:rFonts w:hint="eastAsia" w:ascii="仿宋_GB2312" w:hAnsi="仿宋_GB2312" w:eastAsia="仿宋_GB2312" w:cs="仿宋_GB2312"/>
          <w:color w:val="auto"/>
          <w:sz w:val="32"/>
          <w:szCs w:val="32"/>
          <w:highlight w:val="none"/>
        </w:rPr>
        <w:t>。</w:t>
      </w:r>
    </w:p>
    <w:p w14:paraId="47C80AF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（五）服务提供</w:t>
      </w:r>
    </w:p>
    <w:p w14:paraId="33106CA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给出了运输服务前、运输服务时、运输服务后的建议</w:t>
      </w:r>
      <w:r>
        <w:rPr>
          <w:rFonts w:hint="eastAsia" w:ascii="仿宋_GB2312" w:hAnsi="仿宋_GB2312" w:eastAsia="仿宋_GB2312" w:cs="仿宋_GB2312"/>
          <w:color w:val="auto"/>
          <w:sz w:val="32"/>
          <w:szCs w:val="32"/>
          <w:highlight w:val="none"/>
        </w:rPr>
        <w:t>。</w:t>
      </w:r>
    </w:p>
    <w:p w14:paraId="616CD01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（六）服务安全</w:t>
      </w:r>
    </w:p>
    <w:p w14:paraId="7129765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提供了飞行安全、人员安全、快件安全、数据安全、突发应急处置预案的指导</w:t>
      </w:r>
      <w:r>
        <w:rPr>
          <w:rFonts w:hint="eastAsia" w:ascii="仿宋_GB2312" w:hAnsi="仿宋_GB2312" w:eastAsia="仿宋_GB2312" w:cs="仿宋_GB2312"/>
          <w:color w:val="auto"/>
          <w:sz w:val="32"/>
          <w:szCs w:val="32"/>
          <w:highlight w:val="none"/>
        </w:rPr>
        <w:t>。</w:t>
      </w:r>
    </w:p>
    <w:p w14:paraId="0F0AC8C1">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（七）服务评价与改进</w:t>
      </w:r>
    </w:p>
    <w:p w14:paraId="1005A11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给出了内部评价与外部评价、服务改进措施等建议</w:t>
      </w:r>
      <w:r>
        <w:rPr>
          <w:rFonts w:hint="eastAsia" w:ascii="仿宋_GB2312" w:hAnsi="仿宋_GB2312" w:eastAsia="仿宋_GB2312" w:cs="仿宋_GB2312"/>
          <w:color w:val="auto"/>
          <w:sz w:val="32"/>
          <w:szCs w:val="32"/>
          <w:highlight w:val="none"/>
        </w:rPr>
        <w:t>。</w:t>
      </w:r>
    </w:p>
    <w:p w14:paraId="648C801B">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五、与法律法规、强制性标准的关系</w:t>
      </w:r>
    </w:p>
    <w:p w14:paraId="7D00760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以《中华人民共和国标准化法》、《广东省标准化条例》中的相关规定要求，以及下述列表中的政策文件为依据进行研制，不违反任何相关的现有法律法规以及强制性标准，与有关法律法规和强制性标准的关系是协调一致的。</w:t>
      </w:r>
    </w:p>
    <w:p w14:paraId="1E9617C3">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六、先进性和地方特色</w:t>
      </w:r>
    </w:p>
    <w:p w14:paraId="05BF81A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（一）先进性</w:t>
      </w:r>
    </w:p>
    <w:p w14:paraId="187188C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技术应用领先。明确要求起降控制场通过系统或平台建设实现无人机自动操作和管控，且宜采用具备定位系统、自动驾驶技术的无人驾驶航空器，顺应智能物流发展趋势，提升运输效率与精准度。二</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安全管理全面。构建多维度安全保障体系，既涵盖飞行、人员、快件、数据等常规安全领域，又针对海岛场景制定突发应急处置预案，重点应对强风、暴雨等复杂天气及通信中断、设备故障等风险，还要求购买第三者责任保险和足额货物保险，降低运营风险。三</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服务流程规范。细化服务全流程，从运输服务前的快件选择、寄件人沟通，到运输服务时的跟踪监控、异常处理，再到运输服务后的反馈改进、数据保存，形成闭环管理，同时引入内部与外部双重服务评价机制，结合大数据、云计算技术推动服务持续优化。</w:t>
      </w:r>
    </w:p>
    <w:p w14:paraId="60346FCA">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（二）地方特色</w:t>
      </w:r>
    </w:p>
    <w:p w14:paraId="2CEEB43C">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48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贴合珠海海岛地理特征。充分考虑珠海多海岛、海岸线长的特点，针对海岛场景界定运行航线范围，在起降控制场布局上要求综合考虑地质条件、空域限制、周边生态，优先选择通讯信号稳定区域，远离民航航线相关区域，适配珠海海岛实际环境。二是满足地方产业需求。珠海作为无人机产业发展活跃地区，标准明确快递服务主体可独立或合作开展无人机快递服务，契合当地无人机企业与快递行业协同发展需求，为地方相关产业提供合规运营依据，助力打造海岛快件运输特色产业链。三</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应对地方气候挑战。针对珠海台风、强降雨等常见极端天气，要求制定备降方案及货物滞留处理方案，明确跨海飞行时不同阶段的抗风能力标准（飞行期间不低于6级，起降阶段不低于4级），精准解决地方气候对海岛快件运输的影响。本标准由珠海市邮政管理局提出并组织实施，</w:t>
      </w:r>
      <w:r>
        <w:rPr>
          <w:rFonts w:hint="eastAsia" w:ascii="仿宋_GB2312" w:hAnsi="仿宋_GB2312" w:eastAsia="仿宋_GB2312" w:cs="仿宋_GB2312"/>
          <w:color w:val="auto"/>
          <w:sz w:val="32"/>
          <w:szCs w:val="32"/>
          <w:highlight w:val="none"/>
          <w:lang w:val="en-US" w:eastAsia="zh-CN"/>
        </w:rPr>
        <w:t>广东省邮政管理局作为归口省级行政主管部门，由广东省低空经济标准化技术委员会（GD/TC 152）作为归口标准化技术管理委员会，由珠海市邮政管理局担任主导单位并与珠海万山海洋开发试验区管理委员会、广东省珠海市质量技术监督标准与编码所、广东省检验检测认证研究院集团有限公司等17家</w:t>
      </w:r>
      <w:r>
        <w:rPr>
          <w:rFonts w:hint="eastAsia" w:ascii="仿宋_GB2312" w:hAnsi="仿宋_GB2312" w:eastAsia="仿宋_GB2312" w:cs="仿宋_GB2312"/>
          <w:b w:val="0"/>
          <w:bCs w:val="0"/>
          <w:sz w:val="32"/>
          <w:szCs w:val="32"/>
          <w:highlight w:val="none"/>
          <w:lang w:val="en-US" w:eastAsia="zh-CN"/>
        </w:rPr>
        <w:t>广东省本土大型企业参与起草，充分吸收省内企业在无人驾驶航空器海岛快件运输的实操经验，结合了广东省内无人驾驶航空器海岛快件运输服务的现状、特点以及实际需求，具有较强的针对性和可操作性。</w:t>
      </w:r>
    </w:p>
    <w:p w14:paraId="6B6124B9">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七、标准的制定过程</w:t>
      </w:r>
    </w:p>
    <w:p w14:paraId="2239456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（一）申报立项阶段</w:t>
      </w:r>
    </w:p>
    <w:p w14:paraId="3694DB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珠海市邮政管理局、广东省珠海市质量技术监督标准与编码所联合相关单位第一时间成立了由技术专家、行业专业人士以及多家企业负责人组成的标准编制工作组，负责标准的调研、编制与指导工作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2025年4月组织召开了标准编制工作组立项研讨会，会上工作组明确标准内容应当充分考虑海岛地区的特殊地理条件，分析无人机行业的发展现状和标准化需求，注重标准的可操作性和指导性。初步确定《无人驾驶航空器海岛快件运输服务指南》标准框架。</w:t>
      </w:r>
    </w:p>
    <w:p w14:paraId="378789A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4月，珠海市邮政管理局联合起草单位提交立项建议书，同年5月广东省市场监督管理局发布《广东省市场监督管理局关于批准下达&lt;无人驾驶航空器海岛快件运输服务指南&gt;等3项低空经济领域地方标准制定计划的通知》（粤市监标准〔2025〕236号），广东省地方标准《无人驾驶航空器海岛快件运输服务指南》获批立项。</w:t>
      </w:r>
    </w:p>
    <w:p w14:paraId="27975CB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（二）资料收集阶段</w:t>
      </w:r>
    </w:p>
    <w:p w14:paraId="24AC08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2025年5月—6月，《无人驾驶航空器海岛快件运输服务指南》</w:t>
      </w:r>
      <w:r>
        <w:rPr>
          <w:rFonts w:hint="eastAsia" w:ascii="仿宋_GB2312" w:hAnsi="仿宋_GB2312" w:eastAsia="仿宋_GB2312" w:cs="仿宋_GB2312"/>
          <w:color w:val="auto"/>
          <w:sz w:val="32"/>
          <w:szCs w:val="32"/>
          <w:highlight w:val="none"/>
        </w:rPr>
        <w:t>经批准作为广东省地方标准正式立项后，</w:t>
      </w:r>
      <w:r>
        <w:rPr>
          <w:rFonts w:hint="eastAsia" w:ascii="仿宋_GB2312" w:hAnsi="仿宋_GB2312" w:eastAsia="仿宋_GB2312" w:cs="仿宋_GB2312"/>
          <w:color w:val="auto"/>
          <w:sz w:val="32"/>
          <w:szCs w:val="32"/>
          <w:highlight w:val="none"/>
          <w:lang w:val="en-US" w:eastAsia="zh-CN"/>
        </w:rPr>
        <w:t>工作组收集梳理国内外法律政策、行业指引、学术文献，分析研究无人驾驶航空器海岛快件运输典型案例。</w:t>
      </w:r>
    </w:p>
    <w:p w14:paraId="23C9929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（三）标准起草和研讨阶段</w:t>
      </w:r>
    </w:p>
    <w:p w14:paraId="014FA93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1.2025年6月，</w:t>
      </w:r>
      <w:r>
        <w:rPr>
          <w:rFonts w:hint="eastAsia" w:ascii="仿宋_GB2312" w:hAnsi="仿宋_GB2312" w:eastAsia="仿宋_GB2312" w:cs="仿宋_GB2312"/>
          <w:color w:val="auto"/>
          <w:sz w:val="32"/>
          <w:szCs w:val="32"/>
          <w:highlight w:val="none"/>
        </w:rPr>
        <w:t>标准编制</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rPr>
        <w:t>组制定了工作计划并</w:t>
      </w:r>
      <w:r>
        <w:rPr>
          <w:rFonts w:hint="eastAsia" w:ascii="仿宋_GB2312" w:hAnsi="仿宋_GB2312" w:eastAsia="仿宋_GB2312" w:cs="仿宋_GB2312"/>
          <w:color w:val="auto"/>
          <w:sz w:val="32"/>
          <w:szCs w:val="32"/>
          <w:highlight w:val="none"/>
          <w:lang w:val="en-US" w:eastAsia="zh-CN"/>
        </w:rPr>
        <w:t>多次</w:t>
      </w:r>
      <w:r>
        <w:rPr>
          <w:rFonts w:hint="eastAsia" w:ascii="仿宋_GB2312" w:hAnsi="仿宋_GB2312" w:eastAsia="仿宋_GB2312" w:cs="仿宋_GB2312"/>
          <w:color w:val="auto"/>
          <w:sz w:val="32"/>
          <w:szCs w:val="32"/>
          <w:highlight w:val="none"/>
        </w:rPr>
        <w:t>召开编制组工作人员会议，明确了任务要求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人员分工、</w:t>
      </w:r>
      <w:r>
        <w:rPr>
          <w:rFonts w:hint="eastAsia" w:ascii="仿宋_GB2312" w:hAnsi="仿宋_GB2312" w:eastAsia="仿宋_GB2312" w:cs="仿宋_GB2312"/>
          <w:color w:val="auto"/>
          <w:sz w:val="32"/>
          <w:szCs w:val="32"/>
          <w:highlight w:val="none"/>
        </w:rPr>
        <w:t>工作进度</w:t>
      </w:r>
      <w:r>
        <w:rPr>
          <w:rFonts w:hint="eastAsia" w:ascii="仿宋_GB2312" w:hAnsi="仿宋_GB2312" w:eastAsia="仿宋_GB2312" w:cs="仿宋_GB2312"/>
          <w:color w:val="auto"/>
          <w:sz w:val="32"/>
          <w:szCs w:val="32"/>
          <w:highlight w:val="none"/>
          <w:lang w:val="en-US" w:eastAsia="zh-CN"/>
        </w:rPr>
        <w:t>安排等</w:t>
      </w:r>
      <w:r>
        <w:rPr>
          <w:rFonts w:hint="eastAsia" w:ascii="仿宋_GB2312" w:hAnsi="仿宋_GB2312" w:eastAsia="仿宋_GB2312" w:cs="仿宋_GB2312"/>
          <w:color w:val="auto"/>
          <w:sz w:val="32"/>
          <w:szCs w:val="32"/>
          <w:highlight w:val="none"/>
          <w:lang w:eastAsia="zh-CN"/>
        </w:rPr>
        <w:t>，为推进项目顺利实施奠定了良好的基础。</w:t>
      </w:r>
      <w:r>
        <w:rPr>
          <w:rFonts w:hint="eastAsia" w:ascii="仿宋_GB2312" w:hAnsi="仿宋_GB2312" w:eastAsia="仿宋_GB2312" w:cs="仿宋_GB2312"/>
          <w:color w:val="auto"/>
          <w:sz w:val="32"/>
          <w:szCs w:val="32"/>
          <w:highlight w:val="none"/>
          <w:lang w:val="en-US" w:eastAsia="zh-CN"/>
        </w:rPr>
        <w:tab/>
      </w:r>
    </w:p>
    <w:p w14:paraId="213AAF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2.为深入了解低空物流的实际情况，</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-9月</w:t>
      </w:r>
      <w:r>
        <w:rPr>
          <w:rFonts w:hint="eastAsia" w:ascii="仿宋_GB2312" w:hAnsi="仿宋_GB2312" w:eastAsia="仿宋_GB2312" w:cs="仿宋_GB2312"/>
          <w:color w:val="auto"/>
          <w:sz w:val="32"/>
          <w:szCs w:val="32"/>
          <w:highlight w:val="none"/>
        </w:rPr>
        <w:t>，标准编制工作组针对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无人驾驶航空器海岛快件运输服务指南》</w:t>
      </w:r>
      <w:r>
        <w:rPr>
          <w:rFonts w:hint="eastAsia" w:ascii="仿宋_GB2312" w:hAnsi="仿宋_GB2312" w:eastAsia="仿宋_GB2312" w:cs="仿宋_GB2312"/>
          <w:color w:val="auto"/>
          <w:sz w:val="32"/>
          <w:szCs w:val="32"/>
          <w:highlight w:val="none"/>
        </w:rPr>
        <w:t>的制定工作</w:t>
      </w:r>
      <w:r>
        <w:rPr>
          <w:rFonts w:hint="eastAsia" w:ascii="仿宋_GB2312" w:hAnsi="仿宋_GB2312" w:eastAsia="仿宋_GB2312" w:cs="仿宋_GB2312"/>
          <w:color w:val="auto"/>
          <w:sz w:val="32"/>
          <w:szCs w:val="32"/>
          <w:highlight w:val="none"/>
          <w:lang w:val="en-US" w:eastAsia="zh-CN"/>
        </w:rPr>
        <w:t>多次</w:t>
      </w:r>
      <w:r>
        <w:rPr>
          <w:rFonts w:hint="eastAsia" w:ascii="仿宋_GB2312" w:hAnsi="仿宋_GB2312" w:eastAsia="仿宋_GB2312" w:cs="仿宋_GB2312"/>
          <w:color w:val="auto"/>
          <w:sz w:val="32"/>
          <w:szCs w:val="32"/>
          <w:highlight w:val="none"/>
        </w:rPr>
        <w:t>展开了全面且深入的研究与实地调研</w:t>
      </w:r>
      <w:r>
        <w:rPr>
          <w:rFonts w:hint="eastAsia" w:ascii="仿宋_GB2312" w:hAnsi="仿宋_GB2312" w:eastAsia="仿宋_GB2312" w:cs="仿宋_GB2312"/>
          <w:color w:val="auto"/>
          <w:sz w:val="32"/>
          <w:szCs w:val="32"/>
          <w:highlight w:val="none"/>
          <w:lang w:eastAsia="zh-CN"/>
        </w:rPr>
        <w:t>，调研团队</w:t>
      </w:r>
      <w:r>
        <w:rPr>
          <w:rFonts w:hint="eastAsia" w:ascii="仿宋_GB2312" w:hAnsi="仿宋_GB2312" w:eastAsia="仿宋_GB2312" w:cs="仿宋_GB2312"/>
          <w:color w:val="auto"/>
          <w:sz w:val="32"/>
          <w:szCs w:val="32"/>
          <w:highlight w:val="none"/>
          <w:lang w:val="en-US" w:eastAsia="zh-CN"/>
        </w:rPr>
        <w:t>先后</w:t>
      </w:r>
      <w:r>
        <w:rPr>
          <w:rFonts w:hint="eastAsia" w:ascii="仿宋_GB2312" w:hAnsi="仿宋_GB2312" w:eastAsia="仿宋_GB2312" w:cs="仿宋_GB2312"/>
          <w:color w:val="auto"/>
          <w:sz w:val="32"/>
          <w:szCs w:val="32"/>
          <w:highlight w:val="none"/>
          <w:lang w:eastAsia="zh-CN"/>
        </w:rPr>
        <w:t>前往万翼天下（珠海）航空有限公司、</w:t>
      </w:r>
      <w:r>
        <w:rPr>
          <w:rFonts w:hint="eastAsia" w:ascii="仿宋_GB2312" w:hAnsi="仿宋_GB2312" w:eastAsia="仿宋_GB2312" w:cs="仿宋_GB2312"/>
          <w:color w:val="auto"/>
          <w:sz w:val="32"/>
          <w:szCs w:val="32"/>
          <w:highlight w:val="none"/>
          <w:lang w:val="en-US" w:eastAsia="zh-CN"/>
        </w:rPr>
        <w:t>浙江省舟山市邮政管理局、舟山市</w:t>
      </w:r>
      <w:r>
        <w:rPr>
          <w:rFonts w:hint="eastAsia" w:ascii="仿宋_GB2312" w:hAnsi="仿宋_GB2312" w:eastAsia="仿宋_GB2312" w:cs="仿宋_GB2312"/>
          <w:kern w:val="2"/>
          <w:sz w:val="32"/>
          <w:szCs w:val="32"/>
          <w:highlight w:val="none"/>
          <w:lang w:val="en-US" w:eastAsia="zh-CN" w:bidi="ar-SA"/>
        </w:rPr>
        <w:t>盘峙岛无人机起降场、</w:t>
      </w:r>
      <w:r>
        <w:rPr>
          <w:rFonts w:hint="eastAsia" w:ascii="仿宋_GB2312" w:hAnsi="仿宋_GB2312" w:eastAsia="仿宋_GB2312" w:cs="仿宋_GB2312"/>
          <w:color w:val="auto"/>
          <w:sz w:val="32"/>
          <w:szCs w:val="32"/>
          <w:highlight w:val="none"/>
          <w:lang w:val="en-US" w:eastAsia="zh-CN"/>
        </w:rPr>
        <w:t>普陀区无人机公共起降场</w:t>
      </w:r>
      <w:r>
        <w:rPr>
          <w:rFonts w:hint="eastAsia" w:ascii="仿宋_GB2312" w:hAnsi="仿宋_GB2312" w:eastAsia="仿宋_GB2312" w:cs="仿宋_GB2312"/>
          <w:kern w:val="2"/>
          <w:sz w:val="32"/>
          <w:szCs w:val="32"/>
          <w:highlight w:val="none"/>
          <w:lang w:val="en-US" w:eastAsia="zh-CN" w:bidi="ar-SA"/>
        </w:rPr>
        <w:t>等相关企业、基地，实地考察无人机运营基地及海岛无人机起降场，了解基础设施建设、日常运营管理情况，调研海岛快件全流程运作机制，</w:t>
      </w:r>
      <w:r>
        <w:rPr>
          <w:rFonts w:hint="eastAsia" w:ascii="仿宋_GB2312" w:hAnsi="仿宋_GB2312" w:eastAsia="仿宋_GB2312" w:cs="仿宋_GB2312"/>
          <w:color w:val="auto"/>
          <w:sz w:val="32"/>
          <w:szCs w:val="32"/>
          <w:highlight w:val="none"/>
          <w:lang w:eastAsia="zh-CN"/>
        </w:rPr>
        <w:t>详细了解他们</w:t>
      </w:r>
      <w:r>
        <w:rPr>
          <w:rFonts w:hint="eastAsia" w:ascii="仿宋_GB2312" w:hAnsi="仿宋_GB2312" w:eastAsia="仿宋_GB2312" w:cs="仿宋_GB2312"/>
          <w:color w:val="auto"/>
          <w:sz w:val="32"/>
          <w:szCs w:val="32"/>
          <w:highlight w:val="none"/>
          <w:lang w:val="en-US" w:eastAsia="zh-CN"/>
        </w:rPr>
        <w:t>在</w:t>
      </w:r>
      <w:r>
        <w:rPr>
          <w:rFonts w:hint="eastAsia" w:ascii="仿宋_GB2312" w:hAnsi="仿宋_GB2312" w:eastAsia="仿宋_GB2312" w:cs="仿宋_GB2312"/>
          <w:kern w:val="2"/>
          <w:sz w:val="32"/>
          <w:szCs w:val="32"/>
          <w:highlight w:val="none"/>
          <w:lang w:val="en-US" w:eastAsia="zh-CN" w:bidi="ar-SA"/>
        </w:rPr>
        <w:t>海岛低空物流发展政策、运营模式、管理经验以及</w:t>
      </w:r>
      <w:r>
        <w:rPr>
          <w:rFonts w:hint="eastAsia" w:ascii="仿宋_GB2312" w:hAnsi="仿宋_GB2312" w:eastAsia="仿宋_GB2312" w:cs="仿宋_GB2312"/>
          <w:color w:val="auto"/>
          <w:sz w:val="32"/>
          <w:szCs w:val="32"/>
          <w:highlight w:val="none"/>
          <w:lang w:eastAsia="zh-CN"/>
        </w:rPr>
        <w:t>标准编制及宣贯等方面的做法、面临的问题以及对标准制定的意见和建议，为标准的编制提供了有力支撑。</w:t>
      </w:r>
      <w:r>
        <w:rPr>
          <w:rFonts w:hint="eastAsia" w:ascii="仿宋_GB2312" w:hAnsi="仿宋_GB2312" w:eastAsia="仿宋_GB2312" w:cs="仿宋_GB2312"/>
          <w:color w:val="auto"/>
          <w:sz w:val="32"/>
          <w:szCs w:val="32"/>
          <w:highlight w:val="none"/>
          <w:lang w:val="en-US" w:eastAsia="zh-CN"/>
        </w:rPr>
        <w:t xml:space="preserve">   </w:t>
      </w:r>
    </w:p>
    <w:p w14:paraId="09B6B3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在上述框架基础上，结合之前的资料收集情况，形成</w:t>
      </w:r>
      <w:r>
        <w:rPr>
          <w:rFonts w:hint="eastAsia" w:ascii="仿宋_GB2312" w:hAnsi="仿宋_GB2312" w:eastAsia="仿宋_GB2312" w:cs="仿宋_GB2312"/>
          <w:b/>
          <w:bCs/>
          <w:color w:val="auto"/>
          <w:sz w:val="32"/>
          <w:szCs w:val="32"/>
          <w:highlight w:val="none"/>
          <w:lang w:val="en-US" w:eastAsia="zh-CN"/>
        </w:rPr>
        <w:t>标准草案稿</w:t>
      </w:r>
      <w:r>
        <w:rPr>
          <w:rFonts w:hint="eastAsia" w:ascii="仿宋_GB2312" w:hAnsi="仿宋_GB2312" w:eastAsia="仿宋_GB2312" w:cs="仿宋_GB2312"/>
          <w:color w:val="auto"/>
          <w:sz w:val="32"/>
          <w:szCs w:val="32"/>
          <w:highlight w:val="none"/>
          <w:lang w:val="en-US" w:eastAsia="zh-CN"/>
        </w:rPr>
        <w:t>。</w:t>
      </w:r>
    </w:p>
    <w:p w14:paraId="23676C1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（四）讨论稿阶段</w:t>
      </w:r>
    </w:p>
    <w:p w14:paraId="0CCE0A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1.2025年10月27日，标准编制工作组在广东省珠海市质量技术监督标准与编码所会议室组织召开了“《无人驾驶航空器快件运输服务指南》广东省地方标准专家研讨会”，参与研讨有来自工业和信息化部电子第五研究所，广东省标准化研究院，广东工业大学，澳门低空科技产业协会，广东省标准化协会，北京德恒（珠海）律师事务所等单位的6位专家。专家对标准草案稿进行框架和具体条款的修改，形成的修改意见主要集中在以下几个方面：</w:t>
      </w:r>
    </w:p>
    <w:p w14:paraId="062209D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（1）增强与海岛特色相关的条款内容，以提升标准的针对性和适用性。例如，在：“寄、收件人沟通”部分补充针对“鲜活易腐货物”的运输要求，并完善从寄件到收件的全流程操作指南</w:t>
      </w:r>
      <w:r>
        <w:rPr>
          <w:rFonts w:hint="eastAsia" w:ascii="仿宋_GB2312" w:hAnsi="仿宋_GB2312" w:eastAsia="仿宋_GB2312" w:cs="仿宋_GB2312"/>
          <w:color w:val="auto"/>
          <w:sz w:val="32"/>
          <w:szCs w:val="32"/>
          <w:highlight w:val="none"/>
          <w:lang w:val="en-US" w:eastAsia="zh-CN"/>
        </w:rPr>
        <w:t>。在“起降控制场”选址建设方面，增加对“海上船只、军事区域、鸟类栖息地”等周边环境的规避要求，并明确“海岛环境防腐蚀”等特殊建设要求。</w:t>
      </w:r>
    </w:p>
    <w:p w14:paraId="0F57652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（2）完善快递无人机运营组织的人员要求，</w:t>
      </w:r>
      <w:r>
        <w:rPr>
          <w:rFonts w:hint="eastAsia" w:ascii="仿宋_GB2312" w:hAnsi="仿宋_GB2312" w:eastAsia="仿宋_GB2312" w:cs="仿宋_GB2312"/>
          <w:color w:val="auto"/>
          <w:sz w:val="32"/>
          <w:szCs w:val="32"/>
          <w:highlight w:val="none"/>
          <w:lang w:val="en-US" w:eastAsia="zh-CN"/>
        </w:rPr>
        <w:t>补充驾驶员/操控员，起降控制场的术语和定义，使标准内容更全面。具体包括：在“人员”部分细化“驾驶员”职责并在“术语和定义”中予以明确定义，增加“安全管理员”的岗位要求，以及在“维修人员”部分补充针对海岛特殊环境的维护规范。</w:t>
      </w:r>
    </w:p>
    <w:p w14:paraId="7496D3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（3）调整标准中部分表述及不合理之处，优化标准结构与流程，增强逻辑连贯性与结构合理性，使其更贴合实际应用。将“突发应急处置预案”调整至“保险”部分之后，以提升整体内容的逻辑一致性。</w:t>
      </w:r>
    </w:p>
    <w:p w14:paraId="7699BB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进一步明确多项关键指标，细化无人机的运输要求，保障无人机在运输过程中的安全性。例如，在：“运输服务时”中增加“定位系统、导航系统、自动驾驶”等技术要求，增加突发状况的应急处置指引，并引入具有海岛特色的“环境参数（如风力、风向、降水、能见度、海浪等）”监测内容。</w:t>
      </w:r>
    </w:p>
    <w:p w14:paraId="57C1C1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（5）补充多种异常天气情况下的应急预案及实际演练安排，确保在突发情况下有章可循、应对有序。例如，在：“突发应急处置预案”中增加“相关部门建立应急联动与信息通报机制”的相关规定。</w:t>
      </w:r>
    </w:p>
    <w:p w14:paraId="0FD802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根据研讨会专家提出的意见建议，起草小组经过研讨形成</w:t>
      </w:r>
      <w:r>
        <w:rPr>
          <w:rFonts w:hint="eastAsia" w:ascii="仿宋_GB2312" w:hAnsi="仿宋_GB2312" w:eastAsia="仿宋_GB2312" w:cs="仿宋_GB2312"/>
          <w:b/>
          <w:bCs/>
          <w:color w:val="auto"/>
          <w:sz w:val="32"/>
          <w:szCs w:val="32"/>
          <w:highlight w:val="none"/>
          <w:lang w:val="en-US" w:eastAsia="zh-CN"/>
        </w:rPr>
        <w:t>标准讨论稿</w:t>
      </w:r>
      <w:r>
        <w:rPr>
          <w:rFonts w:hint="eastAsia" w:ascii="仿宋_GB2312" w:hAnsi="仿宋_GB2312" w:eastAsia="仿宋_GB2312" w:cs="仿宋_GB2312"/>
          <w:color w:val="auto"/>
          <w:sz w:val="32"/>
          <w:szCs w:val="32"/>
          <w:highlight w:val="none"/>
          <w:lang w:val="en-US" w:eastAsia="zh-CN"/>
        </w:rPr>
        <w:t>。</w:t>
      </w:r>
    </w:p>
    <w:p w14:paraId="39876333">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（五）征求意见稿阶段</w:t>
      </w:r>
    </w:p>
    <w:p w14:paraId="4D3CF6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2025年10月-11月，标准编制工作组召开了多</w:t>
      </w:r>
      <w:r>
        <w:rPr>
          <w:rFonts w:hint="eastAsia" w:ascii="仿宋_GB2312" w:hAnsi="仿宋_GB2312" w:eastAsia="仿宋_GB2312" w:cs="仿宋_GB2312"/>
          <w:color w:val="auto"/>
          <w:sz w:val="32"/>
          <w:szCs w:val="32"/>
          <w:highlight w:val="none"/>
        </w:rPr>
        <w:t>次工作会议，听取不同角度的意见，从标准文本框架、内容、格式等方面对标准</w:t>
      </w:r>
      <w:r>
        <w:rPr>
          <w:rFonts w:hint="eastAsia" w:ascii="仿宋_GB2312" w:hAnsi="仿宋_GB2312" w:eastAsia="仿宋_GB2312" w:cs="仿宋_GB2312"/>
          <w:color w:val="auto"/>
          <w:sz w:val="32"/>
          <w:szCs w:val="32"/>
          <w:highlight w:val="none"/>
          <w:lang w:val="en-US" w:eastAsia="zh-CN"/>
        </w:rPr>
        <w:t>讨论稿</w:t>
      </w:r>
      <w:r>
        <w:rPr>
          <w:rFonts w:hint="eastAsia" w:ascii="仿宋_GB2312" w:hAnsi="仿宋_GB2312" w:eastAsia="仿宋_GB2312" w:cs="仿宋_GB2312"/>
          <w:color w:val="auto"/>
          <w:sz w:val="32"/>
          <w:szCs w:val="32"/>
          <w:highlight w:val="none"/>
        </w:rPr>
        <w:t>进行了全面讨论与优化。标准编制工作组根据有关意见和建议对草案进行修改、调整及补充，形成了征求意见稿。</w:t>
      </w:r>
    </w:p>
    <w:p w14:paraId="48FD14C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1"/>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六</w:t>
      </w:r>
      <w:r>
        <w:rPr>
          <w:rFonts w:hint="eastAsia" w:ascii="仿宋_GB2312" w:hAnsi="仿宋_GB2312" w:eastAsia="仿宋_GB2312" w:cs="仿宋_GB2312"/>
          <w:color w:val="auto"/>
          <w:sz w:val="32"/>
          <w:szCs w:val="32"/>
          <w:highlight w:val="none"/>
        </w:rPr>
        <w:t>）公开征求意见</w:t>
      </w:r>
    </w:p>
    <w:p w14:paraId="3EA3B61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2025年1</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日至2025年1</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日，在广东省</w:t>
      </w:r>
      <w:r>
        <w:rPr>
          <w:rFonts w:hint="eastAsia" w:ascii="仿宋_GB2312" w:hAnsi="仿宋_GB2312" w:eastAsia="仿宋_GB2312" w:cs="仿宋_GB2312"/>
          <w:color w:val="auto"/>
          <w:sz w:val="32"/>
          <w:szCs w:val="32"/>
          <w:highlight w:val="none"/>
          <w:lang w:eastAsia="zh-CN"/>
        </w:rPr>
        <w:t>邮政管理局、珠海市邮政管理局</w:t>
      </w:r>
      <w:r>
        <w:rPr>
          <w:rFonts w:hint="eastAsia" w:ascii="仿宋_GB2312" w:hAnsi="仿宋_GB2312" w:eastAsia="仿宋_GB2312" w:cs="仿宋_GB2312"/>
          <w:color w:val="auto"/>
          <w:sz w:val="32"/>
          <w:szCs w:val="32"/>
          <w:highlight w:val="none"/>
        </w:rPr>
        <w:t>官网上公开征求社会各界的意见。共向全省</w:t>
      </w:r>
      <w:r>
        <w:rPr>
          <w:rFonts w:hint="eastAsia" w:ascii="仿宋_GB2312" w:hAnsi="仿宋_GB2312" w:eastAsia="仿宋_GB2312" w:cs="仿宋_GB2312"/>
          <w:color w:val="auto"/>
          <w:sz w:val="32"/>
          <w:szCs w:val="32"/>
          <w:highlight w:val="none"/>
          <w:lang w:val="en-US" w:eastAsia="zh-CN"/>
        </w:rPr>
        <w:t>51</w:t>
      </w:r>
      <w:r>
        <w:rPr>
          <w:rFonts w:hint="eastAsia" w:ascii="仿宋_GB2312" w:hAnsi="仿宋_GB2312" w:eastAsia="仿宋_GB2312" w:cs="仿宋_GB2312"/>
          <w:color w:val="auto"/>
          <w:sz w:val="32"/>
          <w:szCs w:val="32"/>
          <w:highlight w:val="none"/>
        </w:rPr>
        <w:t>家机构发送了征求意见稿，收到</w:t>
      </w:r>
      <w:r>
        <w:rPr>
          <w:rFonts w:hint="eastAsia" w:ascii="仿宋_GB2312" w:hAnsi="仿宋_GB2312" w:eastAsia="仿宋_GB2312" w:cs="仿宋_GB2312"/>
          <w:color w:val="auto"/>
          <w:sz w:val="32"/>
          <w:szCs w:val="32"/>
          <w:highlight w:val="none"/>
          <w:lang w:val="en-US" w:eastAsia="zh-CN"/>
        </w:rPr>
        <w:t>41</w:t>
      </w:r>
      <w:r>
        <w:rPr>
          <w:rFonts w:hint="eastAsia" w:ascii="仿宋_GB2312" w:hAnsi="仿宋_GB2312" w:eastAsia="仿宋_GB2312" w:cs="仿宋_GB2312"/>
          <w:color w:val="auto"/>
          <w:sz w:val="32"/>
          <w:szCs w:val="32"/>
          <w:highlight w:val="none"/>
        </w:rPr>
        <w:t>家机构回函，</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家机构没有回函。在回函的机构中，共征集到</w:t>
      </w:r>
      <w:r>
        <w:rPr>
          <w:rFonts w:hint="eastAsia" w:ascii="仿宋_GB2312" w:hAnsi="仿宋_GB2312" w:eastAsia="仿宋_GB2312" w:cs="仿宋_GB2312"/>
          <w:color w:val="auto"/>
          <w:sz w:val="32"/>
          <w:szCs w:val="32"/>
          <w:highlight w:val="none"/>
          <w:lang w:val="en-US" w:eastAsia="zh-CN"/>
        </w:rPr>
        <w:t>55</w:t>
      </w:r>
      <w:r>
        <w:rPr>
          <w:rFonts w:hint="eastAsia" w:ascii="仿宋_GB2312" w:hAnsi="仿宋_GB2312" w:eastAsia="仿宋_GB2312" w:cs="仿宋_GB2312"/>
          <w:color w:val="auto"/>
          <w:sz w:val="32"/>
          <w:szCs w:val="32"/>
          <w:highlight w:val="none"/>
        </w:rPr>
        <w:t>条意见建议，其中</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家机构提出</w:t>
      </w:r>
      <w:r>
        <w:rPr>
          <w:rFonts w:hint="eastAsia" w:ascii="仿宋_GB2312" w:hAnsi="仿宋_GB2312" w:eastAsia="仿宋_GB2312" w:cs="仿宋_GB2312"/>
          <w:color w:val="auto"/>
          <w:sz w:val="32"/>
          <w:szCs w:val="32"/>
          <w:highlight w:val="none"/>
          <w:lang w:val="en-US" w:eastAsia="zh-CN"/>
        </w:rPr>
        <w:t>24</w:t>
      </w:r>
      <w:r>
        <w:rPr>
          <w:rFonts w:hint="eastAsia" w:ascii="仿宋_GB2312" w:hAnsi="仿宋_GB2312" w:eastAsia="仿宋_GB2312" w:cs="仿宋_GB2312"/>
          <w:color w:val="auto"/>
          <w:sz w:val="32"/>
          <w:szCs w:val="32"/>
          <w:highlight w:val="none"/>
        </w:rPr>
        <w:t>条具体意见和建议，其余</w:t>
      </w:r>
      <w:r>
        <w:rPr>
          <w:rFonts w:hint="eastAsia" w:ascii="仿宋_GB2312" w:hAnsi="仿宋_GB2312" w:eastAsia="仿宋_GB2312" w:cs="仿宋_GB2312"/>
          <w:color w:val="auto"/>
          <w:sz w:val="32"/>
          <w:szCs w:val="32"/>
          <w:highlight w:val="none"/>
          <w:lang w:val="en-US" w:eastAsia="zh-CN"/>
        </w:rPr>
        <w:t>31</w:t>
      </w:r>
      <w:r>
        <w:rPr>
          <w:rFonts w:hint="eastAsia" w:ascii="仿宋_GB2312" w:hAnsi="仿宋_GB2312" w:eastAsia="仿宋_GB2312" w:cs="仿宋_GB2312"/>
          <w:color w:val="auto"/>
          <w:sz w:val="32"/>
          <w:szCs w:val="32"/>
          <w:highlight w:val="none"/>
        </w:rPr>
        <w:t>家机构无意见。经起草组研究和讨论，采纳17条，部分采纳</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条，不采纳</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条。征求意见内容及处理情况详见《征求意见汇总处理表》。起草组根据反馈意见多次召开内部研讨会，对标准进行相关修改补充，形成标准送审稿、编制说明和其他相关送审文件。</w:t>
      </w:r>
    </w:p>
    <w:p w14:paraId="65EF82D8">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八、技术指标设置的科学性和可行性</w:t>
      </w:r>
    </w:p>
    <w:p w14:paraId="7945C469">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本标准不设量化技术指标，所有要求均为过程管理、制度建设和行为指引，具有普遍适用性和可验证性。</w:t>
      </w:r>
    </w:p>
    <w:p w14:paraId="08D06AA3">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九、与国际、国家、行业、其他省同类标准技术内容的对比情况</w:t>
      </w:r>
    </w:p>
    <w:p w14:paraId="60C1433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（一）国际层面</w:t>
      </w:r>
    </w:p>
    <w:p w14:paraId="3C4AFAE3">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近年来，各国政府普遍认识到低空物流在推动经济发展、提升物流效率、降低物流成本等方面的重要作用，出台相关政策以支持其发展，这些政策涵盖了从无人机技术研发、生产制造到应用推广的各个环节，为低空物流的发展提供了有力的政策保障。目前，国际上相关标准多聚焦于无人驾驶航空器通用运行、物流运输基础规范，未体现海岛场景的特殊性，尚未形成统一、全面且系统的无人驾驶航空器海岛快件运输服务指南标准。</w:t>
      </w:r>
    </w:p>
    <w:p w14:paraId="15828A8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（二）国家层面</w:t>
      </w:r>
    </w:p>
    <w:p w14:paraId="3BADF714">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中国的低空物流正处于快速发展阶段，在应用层面，政策鼓励物流企业在满足安全要求的前提下，积极探索无人机在物流配送领域的应用，并加强对无人机飞行的监管和管理，确保无人机在合法、安全的范围内进行飞行和配送。我国现行国家标准中，与无人机、快递服务相关的标准以通用术语、基础规范为主，未专项覆盖海岛快件运输场景。本文件《无人驾驶航空器海岛快件运输服务指南》将从快件运输服务的角度出发，基于海岛场景，提供了使用无人驾驶航空器在海岛场景下提供快件运输服务的有关指导和建议，包括服务能力保障、服务提供、服务安全、服务评价与改进的指导和建议。其中服务能力保障提供了运营资质、无人驾驶航空器系统、人员、快件、起降控制场、保险的指导和建议，服务提供给出了运输服务前、运输服务中、运输服务后的建议，服务安全提供了飞行安全、人员安全、快件安全、数据安全、突发应急处置等方面的指导和建议，服务评价与改进给出了内部评价与外部评价、服务改进措施等建议。</w:t>
      </w:r>
    </w:p>
    <w:p w14:paraId="1097D9FB">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（三）行业层面</w:t>
      </w:r>
    </w:p>
    <w:p w14:paraId="3FDBCE74">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国家邮政局在2020年发布《无人机快递投递服务规范》（YZ/T 0172-2020），该标准规定了无人机快递投递服务的服务主体、服务条件、服务流程、服务评价、服务安全和服务赔偿的要求，该标准适用于各场景下无人机快递投递服务的通用要求。中国民用航空局2023年发布《民用无人驾驶航空器系统物流运行通用要求 第1部分：海岛场景》（MH/T 2014-2023），该标准明确使用无人驾驶航空器从事物流运行的运营人、运行程序和手册、所使用的无人驾驶航空器系统、运行环境和起降场地、运行控制、通信保障、导航、无线电要求，从运行角度和技术上规范物流无人驾驶航空器系统的生产和应用，该标准主要从技术层面对海岛场景下的无人驾驶航空器物流进行要求，并不是针对海岛场景下的无人驾驶航空器快件运输服务。</w:t>
      </w:r>
    </w:p>
    <w:p w14:paraId="33775454">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（四）其他省同类标准</w:t>
      </w:r>
    </w:p>
    <w:p w14:paraId="49FCE5B3">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经检索分析，截至本标准草案编制阶段，国内其他省份尚未发布针对无人驾驶航空器海岛快件运输的专项地方标准，仅部分沿海省份（如福建、浙江）发布过无人机通用物流、陆地快递运输相关地方标准。</w:t>
      </w:r>
    </w:p>
    <w:p w14:paraId="31D87FF1">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十、涉及专利的说明</w:t>
      </w:r>
    </w:p>
    <w:p w14:paraId="7E52D1C4">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本标准不涉及专利。</w:t>
      </w:r>
    </w:p>
    <w:p w14:paraId="44E10C98">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val="en-US" w:eastAsia="zh-CN"/>
        </w:rPr>
      </w:pPr>
      <w:r>
        <w:rPr>
          <w:rFonts w:hint="eastAsia" w:ascii="黑体" w:hAnsi="黑体" w:eastAsia="黑体" w:cs="黑体"/>
          <w:b w:val="0"/>
          <w:bCs/>
          <w:kern w:val="0"/>
          <w:sz w:val="32"/>
          <w:szCs w:val="32"/>
          <w:highlight w:val="none"/>
          <w:lang w:val="en-US" w:eastAsia="zh-CN"/>
        </w:rPr>
        <w:t>十一、贯彻标准的要求和措施建议</w:t>
      </w:r>
    </w:p>
    <w:p w14:paraId="6404DE6A">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本标准旨在提供了使用无人驾驶航空器在海岛场景下提供快件运输服务的有关指导和建议，并给出了相关信息，填补了海岛场景下无人机快件运输服务的标准空白。标准发布后，建议行业主管部门、标准化主管部门、标准化技术机构运用培训班、宣贯会、讲座、网站等多种形式，进行宣传、贯彻和实施。</w:t>
      </w:r>
    </w:p>
    <w:p w14:paraId="7893E9D0">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val="en-US" w:eastAsia="zh-CN"/>
        </w:rPr>
      </w:pPr>
      <w:r>
        <w:rPr>
          <w:rFonts w:hint="eastAsia" w:ascii="黑体" w:hAnsi="黑体" w:eastAsia="黑体" w:cs="黑体"/>
          <w:b w:val="0"/>
          <w:bCs/>
          <w:kern w:val="0"/>
          <w:sz w:val="32"/>
          <w:szCs w:val="32"/>
          <w:highlight w:val="none"/>
          <w:lang w:val="en-US" w:eastAsia="zh-CN"/>
        </w:rPr>
        <w:t>十二、其他情况说明</w:t>
      </w:r>
    </w:p>
    <w:p w14:paraId="03F0F84E">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本标准没有引用或参照国外标准。</w:t>
      </w:r>
    </w:p>
    <w:p w14:paraId="653C4FE2">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本标准为推荐性标准。</w:t>
      </w:r>
    </w:p>
    <w:p w14:paraId="530C4FCB">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本标准为第一次编制，没有涉及废止现行有关的标准。</w:t>
      </w:r>
    </w:p>
    <w:p w14:paraId="53F16E18">
      <w:pPr>
        <w:pStyle w:val="11"/>
        <w:tabs>
          <w:tab w:val="center" w:pos="4201"/>
          <w:tab w:val="right" w:leader="dot" w:pos="9298"/>
        </w:tabs>
        <w:spacing w:line="560" w:lineRule="exact"/>
        <w:ind w:firstLine="480"/>
        <w:rPr>
          <w:rFonts w:hint="eastAsia" w:ascii="仿宋_GB2312" w:hAnsi="仿宋_GB2312" w:eastAsia="仿宋_GB2312" w:cs="仿宋_GB2312"/>
          <w:sz w:val="32"/>
          <w:szCs w:val="32"/>
          <w:highlight w:val="none"/>
          <w:lang w:val="en-US" w:eastAsia="zh-CN"/>
        </w:rPr>
      </w:pPr>
    </w:p>
    <w:p w14:paraId="22ADC75E">
      <w:pPr>
        <w:pStyle w:val="11"/>
        <w:tabs>
          <w:tab w:val="center" w:pos="4201"/>
          <w:tab w:val="right" w:leader="dot" w:pos="9298"/>
        </w:tabs>
        <w:spacing w:line="560" w:lineRule="exact"/>
        <w:ind w:firstLine="480"/>
        <w:rPr>
          <w:rFonts w:hint="eastAsia" w:ascii="仿宋_GB2312" w:hAnsi="仿宋_GB2312" w:eastAsia="仿宋_GB2312" w:cs="仿宋_GB2312"/>
          <w:sz w:val="32"/>
          <w:szCs w:val="32"/>
          <w:highlight w:val="none"/>
          <w:lang w:val="en-US" w:eastAsia="zh-CN"/>
        </w:rPr>
      </w:pPr>
    </w:p>
    <w:p w14:paraId="337729AB">
      <w:pPr>
        <w:pStyle w:val="11"/>
        <w:tabs>
          <w:tab w:val="center" w:pos="4201"/>
          <w:tab w:val="right" w:leader="dot" w:pos="9298"/>
        </w:tabs>
        <w:spacing w:line="560" w:lineRule="exact"/>
        <w:ind w:left="0" w:leftChars="0" w:firstLine="0" w:firstLineChars="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《无人驾驶航空器海岛快件运输服务指南》</w:t>
      </w:r>
    </w:p>
    <w:p w14:paraId="29B9CC3C">
      <w:pPr>
        <w:pStyle w:val="11"/>
        <w:tabs>
          <w:tab w:val="center" w:pos="4201"/>
          <w:tab w:val="right" w:leader="dot" w:pos="9298"/>
        </w:tabs>
        <w:spacing w:line="560" w:lineRule="exact"/>
        <w:ind w:left="0" w:leftChars="0" w:firstLine="0" w:firstLineChars="0"/>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标准编制工作组</w:t>
      </w:r>
    </w:p>
    <w:p w14:paraId="0B35C277">
      <w:pPr>
        <w:pStyle w:val="11"/>
        <w:tabs>
          <w:tab w:val="center" w:pos="4201"/>
          <w:tab w:val="right" w:leader="dot" w:pos="9298"/>
        </w:tabs>
        <w:spacing w:line="560" w:lineRule="exact"/>
        <w:ind w:left="0" w:leftChars="0" w:firstLine="0" w:firstLineChars="0"/>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2025年10月</w:t>
      </w:r>
    </w:p>
    <w:p w14:paraId="32B17B6A">
      <w:pPr>
        <w:rPr>
          <w:highlight w:val="none"/>
        </w:rPr>
      </w:pPr>
    </w:p>
    <w:sectPr>
      <w:footerReference r:id="rId3" w:type="default"/>
      <w:pgSz w:w="11906" w:h="16838"/>
      <w:pgMar w:top="1701" w:right="1531" w:bottom="1134" w:left="1531" w:header="851" w:footer="113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金山简标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C8C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1868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A1868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5"/>
      <w:suff w:val="nothing"/>
      <w:lvlText w:val="%1%2　"/>
      <w:lvlJc w:val="left"/>
      <w:pPr>
        <w:ind w:left="0" w:firstLine="0"/>
      </w:pPr>
      <w:rPr>
        <w:rFonts w:hint="eastAsia" w:ascii="黑体" w:eastAsia="黑体"/>
        <w:b w:val="0"/>
        <w:i w:val="0"/>
        <w:sz w:val="21"/>
      </w:rPr>
    </w:lvl>
    <w:lvl w:ilvl="2" w:tentative="0">
      <w:start w:val="1"/>
      <w:numFmt w:val="decimal"/>
      <w:pStyle w:val="14"/>
      <w:suff w:val="nothing"/>
      <w:lvlText w:val="%1%2.%3　"/>
      <w:lvlJc w:val="left"/>
      <w:pPr>
        <w:ind w:left="71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13"/>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0C6545"/>
    <w:rsid w:val="00A42231"/>
    <w:rsid w:val="00D86331"/>
    <w:rsid w:val="01F27748"/>
    <w:rsid w:val="03794412"/>
    <w:rsid w:val="03C344D1"/>
    <w:rsid w:val="050E411D"/>
    <w:rsid w:val="056903BC"/>
    <w:rsid w:val="05C220DB"/>
    <w:rsid w:val="05FD2B10"/>
    <w:rsid w:val="06141C07"/>
    <w:rsid w:val="06450013"/>
    <w:rsid w:val="08247E82"/>
    <w:rsid w:val="08596526"/>
    <w:rsid w:val="09076D68"/>
    <w:rsid w:val="09CE0801"/>
    <w:rsid w:val="09D26061"/>
    <w:rsid w:val="09FB568B"/>
    <w:rsid w:val="0A352409"/>
    <w:rsid w:val="0A855AFE"/>
    <w:rsid w:val="0D15240A"/>
    <w:rsid w:val="0E155E70"/>
    <w:rsid w:val="0E7A3C4B"/>
    <w:rsid w:val="0EE35E87"/>
    <w:rsid w:val="0F977FCF"/>
    <w:rsid w:val="10437AB6"/>
    <w:rsid w:val="10BB784F"/>
    <w:rsid w:val="10D365B1"/>
    <w:rsid w:val="117D67C0"/>
    <w:rsid w:val="11F72B09"/>
    <w:rsid w:val="1435387E"/>
    <w:rsid w:val="154F35C2"/>
    <w:rsid w:val="15CE592F"/>
    <w:rsid w:val="161A6585"/>
    <w:rsid w:val="16E57DB4"/>
    <w:rsid w:val="170A534A"/>
    <w:rsid w:val="174923C9"/>
    <w:rsid w:val="17F924B3"/>
    <w:rsid w:val="181141F9"/>
    <w:rsid w:val="1A392CF0"/>
    <w:rsid w:val="1A4679FD"/>
    <w:rsid w:val="1A6549A2"/>
    <w:rsid w:val="1B1E53EC"/>
    <w:rsid w:val="1B226C8B"/>
    <w:rsid w:val="1BFD4618"/>
    <w:rsid w:val="1C08257A"/>
    <w:rsid w:val="1C6E10FF"/>
    <w:rsid w:val="1DD41F50"/>
    <w:rsid w:val="1DF16B20"/>
    <w:rsid w:val="1E5903C3"/>
    <w:rsid w:val="1F314171"/>
    <w:rsid w:val="1F677E3D"/>
    <w:rsid w:val="20B80136"/>
    <w:rsid w:val="21C43D13"/>
    <w:rsid w:val="22AF4D3A"/>
    <w:rsid w:val="233D692C"/>
    <w:rsid w:val="23841D23"/>
    <w:rsid w:val="2524184E"/>
    <w:rsid w:val="259F485A"/>
    <w:rsid w:val="25F17A41"/>
    <w:rsid w:val="268F5A14"/>
    <w:rsid w:val="270C6545"/>
    <w:rsid w:val="27620EEE"/>
    <w:rsid w:val="27CB3CE5"/>
    <w:rsid w:val="28247FAD"/>
    <w:rsid w:val="28404570"/>
    <w:rsid w:val="28DD7EBE"/>
    <w:rsid w:val="29DE589B"/>
    <w:rsid w:val="29F00F38"/>
    <w:rsid w:val="2ACA4E23"/>
    <w:rsid w:val="2BA60F05"/>
    <w:rsid w:val="2BE2131F"/>
    <w:rsid w:val="2C3A585A"/>
    <w:rsid w:val="2C597B21"/>
    <w:rsid w:val="2CE779E9"/>
    <w:rsid w:val="2D3333D8"/>
    <w:rsid w:val="2EFB28BB"/>
    <w:rsid w:val="2F5F69A4"/>
    <w:rsid w:val="2FEF1FB6"/>
    <w:rsid w:val="3011060A"/>
    <w:rsid w:val="308B0DF9"/>
    <w:rsid w:val="30964BCF"/>
    <w:rsid w:val="31743D1B"/>
    <w:rsid w:val="31AF2660"/>
    <w:rsid w:val="32103750"/>
    <w:rsid w:val="336E6225"/>
    <w:rsid w:val="33FF08FF"/>
    <w:rsid w:val="3467447F"/>
    <w:rsid w:val="349D17BF"/>
    <w:rsid w:val="35135D6B"/>
    <w:rsid w:val="368E2D4F"/>
    <w:rsid w:val="36D30B9F"/>
    <w:rsid w:val="36DD42E7"/>
    <w:rsid w:val="36E12D14"/>
    <w:rsid w:val="37B134B9"/>
    <w:rsid w:val="37D10C3C"/>
    <w:rsid w:val="38AF1198"/>
    <w:rsid w:val="38CD6618"/>
    <w:rsid w:val="38D8472D"/>
    <w:rsid w:val="39700927"/>
    <w:rsid w:val="39B07817"/>
    <w:rsid w:val="3A092B2A"/>
    <w:rsid w:val="3A7F5E7F"/>
    <w:rsid w:val="3AD27712"/>
    <w:rsid w:val="3C454CB2"/>
    <w:rsid w:val="3C6F136A"/>
    <w:rsid w:val="3CB76450"/>
    <w:rsid w:val="3D666A96"/>
    <w:rsid w:val="3E6802A3"/>
    <w:rsid w:val="3E6A67A5"/>
    <w:rsid w:val="3E8A5857"/>
    <w:rsid w:val="3EC15C2B"/>
    <w:rsid w:val="3FFF45F6"/>
    <w:rsid w:val="40424C44"/>
    <w:rsid w:val="406A48F0"/>
    <w:rsid w:val="41B3007C"/>
    <w:rsid w:val="42072EE9"/>
    <w:rsid w:val="42B14FD7"/>
    <w:rsid w:val="4303030D"/>
    <w:rsid w:val="43EE0F7F"/>
    <w:rsid w:val="43F86227"/>
    <w:rsid w:val="460122A5"/>
    <w:rsid w:val="46C25ACD"/>
    <w:rsid w:val="483A1A6C"/>
    <w:rsid w:val="48E16144"/>
    <w:rsid w:val="49AD4EE6"/>
    <w:rsid w:val="4AD4683C"/>
    <w:rsid w:val="4BC25E47"/>
    <w:rsid w:val="4BE1311C"/>
    <w:rsid w:val="4BE2660C"/>
    <w:rsid w:val="4C8B2D47"/>
    <w:rsid w:val="51581F75"/>
    <w:rsid w:val="52E32DFB"/>
    <w:rsid w:val="538434F5"/>
    <w:rsid w:val="53AB2871"/>
    <w:rsid w:val="54095F8F"/>
    <w:rsid w:val="542549B1"/>
    <w:rsid w:val="54280B64"/>
    <w:rsid w:val="551A69B3"/>
    <w:rsid w:val="55EB2A6E"/>
    <w:rsid w:val="563321A4"/>
    <w:rsid w:val="57553281"/>
    <w:rsid w:val="57947A7F"/>
    <w:rsid w:val="57B143B8"/>
    <w:rsid w:val="57F329F7"/>
    <w:rsid w:val="58226E39"/>
    <w:rsid w:val="588B4158"/>
    <w:rsid w:val="58E40CFE"/>
    <w:rsid w:val="59B05A4F"/>
    <w:rsid w:val="59B952BF"/>
    <w:rsid w:val="5A26390B"/>
    <w:rsid w:val="5A623E64"/>
    <w:rsid w:val="5A932270"/>
    <w:rsid w:val="5AF00ACF"/>
    <w:rsid w:val="5B022F52"/>
    <w:rsid w:val="5B4205FD"/>
    <w:rsid w:val="5B745BFD"/>
    <w:rsid w:val="5B767BC7"/>
    <w:rsid w:val="5C1842B3"/>
    <w:rsid w:val="5C4B431C"/>
    <w:rsid w:val="5C5701B0"/>
    <w:rsid w:val="5D414205"/>
    <w:rsid w:val="5D7A4315"/>
    <w:rsid w:val="5DF874CC"/>
    <w:rsid w:val="600A0831"/>
    <w:rsid w:val="6025501E"/>
    <w:rsid w:val="60E7004C"/>
    <w:rsid w:val="623B3779"/>
    <w:rsid w:val="64FE413D"/>
    <w:rsid w:val="6500148B"/>
    <w:rsid w:val="65A332C9"/>
    <w:rsid w:val="6698758B"/>
    <w:rsid w:val="66BF6B1A"/>
    <w:rsid w:val="67C04262"/>
    <w:rsid w:val="67FB33F7"/>
    <w:rsid w:val="69244237"/>
    <w:rsid w:val="69390486"/>
    <w:rsid w:val="69547CAD"/>
    <w:rsid w:val="6B7FB2DC"/>
    <w:rsid w:val="6C137923"/>
    <w:rsid w:val="6C7E0384"/>
    <w:rsid w:val="6CAD5413"/>
    <w:rsid w:val="6CE9518F"/>
    <w:rsid w:val="6D7E3C88"/>
    <w:rsid w:val="6E5B49FB"/>
    <w:rsid w:val="6E6E2980"/>
    <w:rsid w:val="6EBB4442"/>
    <w:rsid w:val="6F8D2902"/>
    <w:rsid w:val="70124C1C"/>
    <w:rsid w:val="72220F73"/>
    <w:rsid w:val="731D0DE4"/>
    <w:rsid w:val="74F10DEF"/>
    <w:rsid w:val="75156F04"/>
    <w:rsid w:val="754737CF"/>
    <w:rsid w:val="759578A1"/>
    <w:rsid w:val="767E63CD"/>
    <w:rsid w:val="782A2AD2"/>
    <w:rsid w:val="78E96937"/>
    <w:rsid w:val="7914420C"/>
    <w:rsid w:val="79BD654B"/>
    <w:rsid w:val="79E65AC0"/>
    <w:rsid w:val="7A644563"/>
    <w:rsid w:val="7A7430CC"/>
    <w:rsid w:val="7B015B51"/>
    <w:rsid w:val="7CC70CBE"/>
    <w:rsid w:val="7E1A21DD"/>
    <w:rsid w:val="7E5B2AC6"/>
    <w:rsid w:val="7E7F86EB"/>
    <w:rsid w:val="7E9E4BBC"/>
    <w:rsid w:val="7EA67F14"/>
    <w:rsid w:val="7ECB34D7"/>
    <w:rsid w:val="7EDBAC95"/>
    <w:rsid w:val="7F556235"/>
    <w:rsid w:val="7FF67685"/>
    <w:rsid w:val="E45B3C07"/>
    <w:rsid w:val="F7FFC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semiHidden/>
    <w:unhideWhenUsed/>
    <w:qFormat/>
    <w:uiPriority w:val="0"/>
    <w:pPr>
      <w:spacing w:after="120"/>
    </w:pPr>
    <w:rPr>
      <w:rFonts w:ascii="Times New Roman" w:hAnsi="Times New Roman"/>
      <w:szCs w:val="20"/>
    </w:rPr>
  </w:style>
  <w:style w:type="paragraph" w:styleId="4">
    <w:name w:val="Plain Text"/>
    <w:basedOn w:val="1"/>
    <w:qFormat/>
    <w:uiPriority w:val="99"/>
    <w:rPr>
      <w:rFonts w:ascii="宋体" w:hAnsi="Courier New"/>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39"/>
    <w:rPr>
      <w:rFonts w:hAnsi="宋体"/>
      <w:color w:val="0000FF"/>
      <w:szCs w:val="21"/>
    </w:rPr>
  </w:style>
  <w:style w:type="character" w:styleId="10">
    <w:name w:val="Strong"/>
    <w:basedOn w:val="9"/>
    <w:qFormat/>
    <w:uiPriority w:val="0"/>
    <w:rPr>
      <w:b/>
    </w:rPr>
  </w:style>
  <w:style w:type="paragraph" w:customStyle="1" w:styleId="1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
    <w:name w:val="标准文件_二级条标题"/>
    <w:next w:val="12"/>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4">
    <w:name w:val="标准文件_一级条标题"/>
    <w:basedOn w:val="15"/>
    <w:next w:val="12"/>
    <w:qFormat/>
    <w:uiPriority w:val="0"/>
    <w:pPr>
      <w:numPr>
        <w:ilvl w:val="2"/>
      </w:numPr>
      <w:spacing w:before="50" w:beforeLines="50" w:after="50" w:afterLines="50"/>
      <w:ind w:left="0"/>
      <w:outlineLvl w:val="1"/>
    </w:pPr>
  </w:style>
  <w:style w:type="paragraph" w:customStyle="1" w:styleId="15">
    <w:name w:val="标准文件_章标题"/>
    <w:next w:val="12"/>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7695</Words>
  <Characters>7944</Characters>
  <Lines>0</Lines>
  <Paragraphs>0</Paragraphs>
  <TotalTime>2</TotalTime>
  <ScaleCrop>false</ScaleCrop>
  <LinksUpToDate>false</LinksUpToDate>
  <CharactersWithSpaces>8017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2025-08-14T13:03:00Z</dcterms:created>
  <dc:creator>珠海标准与编码</dc:creator>
  <cp:lastModifiedBy>杨</cp:lastModifiedBy>
  <cp:lastPrinted>2025-10-22T03:09:00Z</cp:lastPrinted>
  <dcterms:modified xsi:type="dcterms:W3CDTF">2025-12-03T10:24:28Z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BD816A4AB70295AD4E35B96899F3C6CD</vt:lpwstr>
  </property>
  <property fmtid="{D5CDD505-2E9C-101B-9397-08002B2CF9AE}" pid="4" name="KSOTemplateDocerSaveRecord">
    <vt:lpwstr>eyJoZGlkIjoiOTI2NzM2NDFmOWYxN2RjNTY3Y2M2OGQ3NzczOTg5MGEiLCJ1c2VySWQiOiI0Mjc4NTQzMzEifQ==</vt:lpwstr>
  </property>
</Properties>
</file>